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91E8" w14:textId="77777777" w:rsidR="00097DBB" w:rsidRDefault="00097DBB" w:rsidP="00A12ABB">
      <w:pPr>
        <w:adjustRightInd w:val="0"/>
        <w:snapToGrid w:val="0"/>
        <w:spacing w:beforeLines="100" w:before="312" w:afterLines="100" w:after="312"/>
        <w:rPr>
          <w:rFonts w:ascii="Times New Roman" w:eastAsia="宋体" w:hAnsi="Times New Roman" w:cs="Times New Roman"/>
          <w:sz w:val="28"/>
          <w:szCs w:val="28"/>
        </w:rPr>
      </w:pPr>
    </w:p>
    <w:p w14:paraId="112342CE" w14:textId="77777777" w:rsidR="00097DBB" w:rsidRDefault="00097DBB" w:rsidP="00A12ABB">
      <w:pPr>
        <w:widowControl/>
        <w:autoSpaceDE w:val="0"/>
        <w:autoSpaceDN w:val="0"/>
        <w:adjustRightInd w:val="0"/>
        <w:snapToGrid w:val="0"/>
        <w:spacing w:beforeLines="100" w:before="312" w:afterLines="100" w:after="312"/>
        <w:jc w:val="center"/>
        <w:rPr>
          <w:rFonts w:ascii="Times" w:hAnsi="Times" w:cs="Times"/>
          <w:b/>
          <w:bCs/>
          <w:color w:val="1A1A1A"/>
          <w:kern w:val="0"/>
          <w:sz w:val="32"/>
          <w:szCs w:val="32"/>
        </w:rPr>
      </w:pPr>
    </w:p>
    <w:p w14:paraId="10C6A44B" w14:textId="77777777" w:rsidR="00097DBB" w:rsidRDefault="00097DBB" w:rsidP="00A12ABB">
      <w:pPr>
        <w:widowControl/>
        <w:autoSpaceDE w:val="0"/>
        <w:autoSpaceDN w:val="0"/>
        <w:adjustRightInd w:val="0"/>
        <w:snapToGrid w:val="0"/>
        <w:spacing w:beforeLines="100" w:before="312" w:afterLines="100" w:after="312"/>
        <w:jc w:val="center"/>
        <w:rPr>
          <w:rFonts w:ascii="Times" w:hAnsi="Times" w:cs="Times"/>
          <w:b/>
          <w:bCs/>
          <w:color w:val="1A1A1A"/>
          <w:kern w:val="0"/>
          <w:sz w:val="32"/>
          <w:szCs w:val="32"/>
        </w:rPr>
      </w:pPr>
    </w:p>
    <w:p w14:paraId="2F99815A" w14:textId="77777777" w:rsidR="00097DBB" w:rsidRDefault="00294422" w:rsidP="00A12ABB">
      <w:pPr>
        <w:widowControl/>
        <w:autoSpaceDE w:val="0"/>
        <w:autoSpaceDN w:val="0"/>
        <w:adjustRightInd w:val="0"/>
        <w:snapToGrid w:val="0"/>
        <w:spacing w:beforeLines="100" w:before="312" w:afterLines="100" w:after="312"/>
        <w:jc w:val="center"/>
        <w:rPr>
          <w:rFonts w:ascii="Times" w:hAnsi="Times" w:cs="Times"/>
          <w:b/>
          <w:bCs/>
          <w:color w:val="1A1A1A"/>
          <w:kern w:val="0"/>
          <w:sz w:val="32"/>
          <w:szCs w:val="32"/>
        </w:rPr>
      </w:pPr>
      <w:r>
        <w:rPr>
          <w:rFonts w:ascii="Times" w:hAnsi="Times" w:cs="Times"/>
          <w:b/>
          <w:bCs/>
          <w:color w:val="1A1A1A"/>
          <w:kern w:val="0"/>
          <w:sz w:val="32"/>
          <w:szCs w:val="32"/>
        </w:rPr>
        <w:t>China M</w:t>
      </w:r>
      <w:r>
        <w:rPr>
          <w:rFonts w:ascii="Times" w:hAnsi="Times" w:cs="Times"/>
          <w:b/>
          <w:bCs/>
          <w:color w:val="1A1A1A"/>
          <w:kern w:val="0"/>
        </w:rPr>
        <w:t xml:space="preserve">OOT </w:t>
      </w:r>
      <w:r>
        <w:rPr>
          <w:rFonts w:ascii="Times" w:hAnsi="Times" w:cs="Times"/>
          <w:b/>
          <w:bCs/>
          <w:color w:val="1A1A1A"/>
          <w:kern w:val="0"/>
          <w:sz w:val="32"/>
          <w:szCs w:val="32"/>
        </w:rPr>
        <w:t>C</w:t>
      </w:r>
      <w:r>
        <w:rPr>
          <w:rFonts w:ascii="Times" w:hAnsi="Times" w:cs="Times"/>
          <w:b/>
          <w:bCs/>
          <w:color w:val="1A1A1A"/>
          <w:kern w:val="0"/>
        </w:rPr>
        <w:t xml:space="preserve">OURT </w:t>
      </w:r>
      <w:r>
        <w:rPr>
          <w:rFonts w:ascii="Times" w:hAnsi="Times" w:cs="Times"/>
          <w:b/>
          <w:bCs/>
          <w:color w:val="1A1A1A"/>
          <w:kern w:val="0"/>
          <w:sz w:val="32"/>
          <w:szCs w:val="32"/>
        </w:rPr>
        <w:t>C</w:t>
      </w:r>
      <w:r>
        <w:rPr>
          <w:rFonts w:ascii="Times" w:hAnsi="Times" w:cs="Times"/>
          <w:b/>
          <w:bCs/>
          <w:color w:val="1A1A1A"/>
          <w:kern w:val="0"/>
        </w:rPr>
        <w:t>OMPETITION</w:t>
      </w:r>
    </w:p>
    <w:p w14:paraId="2F0424B3" w14:textId="77777777" w:rsidR="00097DBB" w:rsidRDefault="00294422" w:rsidP="00A12ABB">
      <w:pPr>
        <w:widowControl/>
        <w:autoSpaceDE w:val="0"/>
        <w:autoSpaceDN w:val="0"/>
        <w:adjustRightInd w:val="0"/>
        <w:snapToGrid w:val="0"/>
        <w:spacing w:beforeLines="100" w:before="312" w:afterLines="100" w:after="312"/>
        <w:jc w:val="center"/>
        <w:rPr>
          <w:rFonts w:ascii="Times" w:hAnsi="Times" w:cs="Times"/>
          <w:b/>
          <w:bCs/>
          <w:color w:val="1A1A1A"/>
          <w:kern w:val="0"/>
        </w:rPr>
      </w:pPr>
      <w:r>
        <w:rPr>
          <w:rFonts w:ascii="Times" w:hAnsi="Times" w:cs="Times"/>
          <w:b/>
          <w:bCs/>
          <w:color w:val="1A1A1A"/>
          <w:kern w:val="0"/>
        </w:rPr>
        <w:t xml:space="preserve">ON </w:t>
      </w:r>
      <w:r>
        <w:rPr>
          <w:rFonts w:ascii="Times" w:hAnsi="Times" w:cs="Times"/>
          <w:b/>
          <w:bCs/>
          <w:color w:val="1A1A1A"/>
          <w:kern w:val="0"/>
          <w:sz w:val="32"/>
          <w:szCs w:val="32"/>
        </w:rPr>
        <w:t>WTO L</w:t>
      </w:r>
      <w:r>
        <w:rPr>
          <w:rFonts w:ascii="Times" w:hAnsi="Times" w:cs="Times"/>
          <w:b/>
          <w:bCs/>
          <w:color w:val="1A1A1A"/>
          <w:kern w:val="0"/>
        </w:rPr>
        <w:t>AW</w:t>
      </w:r>
      <w:r>
        <w:rPr>
          <w:rFonts w:ascii="Times" w:hAnsi="Times" w:cs="Times" w:hint="eastAsia"/>
          <w:b/>
          <w:bCs/>
          <w:color w:val="1A1A1A"/>
          <w:kern w:val="0"/>
        </w:rPr>
        <w:t xml:space="preserve"> </w:t>
      </w:r>
      <w:r>
        <w:rPr>
          <w:rFonts w:ascii="Times" w:hAnsi="Times" w:cs="Times"/>
          <w:b/>
          <w:bCs/>
          <w:color w:val="1A1A1A"/>
          <w:kern w:val="0"/>
          <w:sz w:val="32"/>
          <w:szCs w:val="32"/>
        </w:rPr>
        <w:t>C</w:t>
      </w:r>
      <w:r>
        <w:rPr>
          <w:rFonts w:ascii="Times" w:hAnsi="Times" w:cs="Times"/>
          <w:b/>
          <w:bCs/>
          <w:color w:val="1A1A1A"/>
          <w:kern w:val="0"/>
        </w:rPr>
        <w:t xml:space="preserve">ASE </w:t>
      </w:r>
      <w:r>
        <w:rPr>
          <w:rFonts w:ascii="Times" w:hAnsi="Times" w:cs="Times"/>
          <w:b/>
          <w:bCs/>
          <w:color w:val="1A1A1A"/>
          <w:kern w:val="0"/>
          <w:sz w:val="32"/>
          <w:szCs w:val="32"/>
        </w:rPr>
        <w:t>20</w:t>
      </w:r>
      <w:r>
        <w:rPr>
          <w:rFonts w:ascii="Times" w:hAnsi="Times" w:cs="Times" w:hint="eastAsia"/>
          <w:b/>
          <w:bCs/>
          <w:color w:val="1A1A1A"/>
          <w:kern w:val="0"/>
          <w:sz w:val="32"/>
          <w:szCs w:val="32"/>
        </w:rPr>
        <w:t>25</w:t>
      </w:r>
    </w:p>
    <w:p w14:paraId="4D00BA0C" w14:textId="77777777" w:rsidR="00097DBB" w:rsidRDefault="00097DBB" w:rsidP="00A12ABB">
      <w:pPr>
        <w:widowControl/>
        <w:autoSpaceDE w:val="0"/>
        <w:autoSpaceDN w:val="0"/>
        <w:adjustRightInd w:val="0"/>
        <w:snapToGrid w:val="0"/>
        <w:spacing w:beforeLines="100" w:before="312" w:afterLines="100" w:after="312"/>
        <w:jc w:val="left"/>
        <w:rPr>
          <w:rFonts w:ascii="Times" w:hAnsi="Times" w:cs="Times"/>
          <w:b/>
          <w:bCs/>
          <w:i/>
          <w:iCs/>
          <w:color w:val="1A1A1A"/>
          <w:kern w:val="0"/>
          <w:sz w:val="32"/>
          <w:szCs w:val="32"/>
        </w:rPr>
      </w:pPr>
    </w:p>
    <w:p w14:paraId="2FEE4217" w14:textId="77777777" w:rsidR="00097DBB" w:rsidRDefault="00294422" w:rsidP="00A12ABB">
      <w:pPr>
        <w:adjustRightInd w:val="0"/>
        <w:snapToGrid w:val="0"/>
        <w:spacing w:beforeLines="100" w:before="312" w:afterLines="100" w:after="312"/>
      </w:pPr>
      <w:proofErr w:type="spellStart"/>
      <w:r>
        <w:rPr>
          <w:rFonts w:ascii="Times" w:hAnsi="Times" w:cs="Times" w:hint="eastAsia"/>
          <w:b/>
          <w:bCs/>
          <w:i/>
          <w:iCs/>
          <w:color w:val="1A1A1A"/>
          <w:kern w:val="0"/>
          <w:sz w:val="32"/>
          <w:szCs w:val="32"/>
        </w:rPr>
        <w:t>Keltron</w:t>
      </w:r>
      <w:proofErr w:type="spellEnd"/>
      <w:r>
        <w:rPr>
          <w:rFonts w:ascii="Times" w:hAnsi="Times" w:cs="Times"/>
          <w:b/>
          <w:bCs/>
          <w:i/>
          <w:iCs/>
          <w:color w:val="1A1A1A"/>
          <w:kern w:val="0"/>
          <w:sz w:val="32"/>
          <w:szCs w:val="32"/>
        </w:rPr>
        <w:t xml:space="preserve"> –</w:t>
      </w:r>
      <w:r>
        <w:rPr>
          <w:rFonts w:ascii="Times" w:hAnsi="Times" w:cs="Times" w:hint="eastAsia"/>
          <w:b/>
          <w:bCs/>
          <w:i/>
          <w:iCs/>
          <w:color w:val="1A1A1A"/>
          <w:kern w:val="0"/>
          <w:sz w:val="32"/>
          <w:szCs w:val="32"/>
        </w:rPr>
        <w:t xml:space="preserve"> </w:t>
      </w:r>
      <w:r>
        <w:rPr>
          <w:rFonts w:ascii="Times" w:hAnsi="Times" w:cs="Times"/>
          <w:b/>
          <w:bCs/>
          <w:i/>
          <w:iCs/>
          <w:color w:val="1A1A1A"/>
          <w:kern w:val="0"/>
          <w:sz w:val="32"/>
          <w:szCs w:val="32"/>
        </w:rPr>
        <w:t>Anti-Enforcement Injunctions in Intellectual Property Disputes (Complainant:</w:t>
      </w:r>
      <w:r>
        <w:rPr>
          <w:rFonts w:ascii="Times New Roman" w:hAnsi="Times New Roman" w:cs="Times New Roman"/>
          <w:sz w:val="24"/>
          <w:szCs w:val="24"/>
        </w:rPr>
        <w:t xml:space="preserve"> </w:t>
      </w:r>
      <w:r>
        <w:rPr>
          <w:rFonts w:ascii="Times" w:hAnsi="Times" w:cs="Times" w:hint="eastAsia"/>
          <w:b/>
          <w:bCs/>
          <w:i/>
          <w:iCs/>
          <w:color w:val="1A1A1A"/>
          <w:kern w:val="0"/>
          <w:sz w:val="32"/>
          <w:szCs w:val="32"/>
        </w:rPr>
        <w:t>Helvetia)</w:t>
      </w:r>
    </w:p>
    <w:p w14:paraId="626A3D20" w14:textId="77777777" w:rsidR="00097DBB" w:rsidRDefault="00097DBB" w:rsidP="00A12ABB">
      <w:pPr>
        <w:adjustRightInd w:val="0"/>
        <w:snapToGrid w:val="0"/>
        <w:spacing w:beforeLines="100" w:before="312" w:afterLines="100" w:after="312"/>
      </w:pPr>
    </w:p>
    <w:p w14:paraId="20B7ED7D" w14:textId="77777777" w:rsidR="00097DBB" w:rsidRDefault="00097DBB" w:rsidP="00A12ABB">
      <w:pPr>
        <w:adjustRightInd w:val="0"/>
        <w:snapToGrid w:val="0"/>
        <w:spacing w:beforeLines="100" w:before="312" w:afterLines="100" w:after="312"/>
      </w:pPr>
    </w:p>
    <w:p w14:paraId="4B1E875C" w14:textId="77777777" w:rsidR="00097DBB" w:rsidRDefault="00294422" w:rsidP="00A12ABB">
      <w:pPr>
        <w:widowControl/>
        <w:adjustRightInd w:val="0"/>
        <w:snapToGrid w:val="0"/>
        <w:spacing w:beforeLines="100" w:before="312" w:afterLines="100" w:after="312"/>
        <w:jc w:val="left"/>
      </w:pPr>
      <w:r>
        <w:rPr>
          <w:rFonts w:hint="eastAsia"/>
        </w:rPr>
        <w:br w:type="page"/>
      </w:r>
    </w:p>
    <w:p w14:paraId="2EA4388D" w14:textId="3E11624C"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hAnsi="Calibri"/>
          <w:sz w:val="24"/>
          <w:szCs w:val="24"/>
        </w:rPr>
      </w:pPr>
      <w:bookmarkStart w:id="0" w:name="OLE_LINK28"/>
      <w:proofErr w:type="spellStart"/>
      <w:r w:rsidRPr="00F72ED4">
        <w:rPr>
          <w:rFonts w:ascii="Calibri" w:hAnsi="Calibri"/>
          <w:sz w:val="24"/>
          <w:szCs w:val="24"/>
        </w:rPr>
        <w:lastRenderedPageBreak/>
        <w:t>Keltron</w:t>
      </w:r>
      <w:proofErr w:type="spellEnd"/>
      <w:r w:rsidRPr="00F72ED4">
        <w:rPr>
          <w:rFonts w:ascii="Calibri" w:hAnsi="Calibri"/>
          <w:sz w:val="24"/>
          <w:szCs w:val="24"/>
        </w:rPr>
        <w:t xml:space="preserve"> and </w:t>
      </w:r>
      <w:bookmarkStart w:id="1" w:name="OLE_LINK12"/>
      <w:r w:rsidRPr="00F72ED4">
        <w:rPr>
          <w:rFonts w:ascii="Calibri" w:hAnsi="Calibri"/>
          <w:sz w:val="24"/>
          <w:szCs w:val="24"/>
        </w:rPr>
        <w:t>Helvetia</w:t>
      </w:r>
      <w:bookmarkEnd w:id="1"/>
      <w:r w:rsidRPr="00F72ED4">
        <w:rPr>
          <w:rFonts w:ascii="Calibri" w:hAnsi="Calibri"/>
          <w:sz w:val="24"/>
          <w:szCs w:val="24"/>
        </w:rPr>
        <w:t xml:space="preserve"> are both European countries and original Members of the World Trade Organization (WTO). </w:t>
      </w:r>
      <w:proofErr w:type="spellStart"/>
      <w:r w:rsidR="005A09DD" w:rsidRPr="00F72ED4">
        <w:rPr>
          <w:rFonts w:ascii="Calibri" w:hAnsi="Calibri"/>
          <w:sz w:val="24"/>
          <w:szCs w:val="24"/>
        </w:rPr>
        <w:t>Keltron’s</w:t>
      </w:r>
      <w:proofErr w:type="spellEnd"/>
      <w:r w:rsidRPr="00F72ED4">
        <w:rPr>
          <w:rFonts w:ascii="Calibri" w:hAnsi="Calibri"/>
          <w:sz w:val="24"/>
          <w:szCs w:val="24"/>
        </w:rPr>
        <w:t xml:space="preserve"> economy is currently experiencing moderate growth amid a complex landscape of persis</w:t>
      </w:r>
      <w:r w:rsidR="00644855" w:rsidRPr="00F72ED4">
        <w:rPr>
          <w:rFonts w:ascii="Calibri" w:hAnsi="Calibri"/>
          <w:sz w:val="24"/>
          <w:szCs w:val="24"/>
        </w:rPr>
        <w:t>tent inflation, fiscal pressure, and global trade tension</w:t>
      </w:r>
      <w:r w:rsidRPr="00F72ED4">
        <w:rPr>
          <w:rFonts w:ascii="Calibri" w:hAnsi="Calibri"/>
          <w:sz w:val="24"/>
          <w:szCs w:val="24"/>
        </w:rPr>
        <w:t xml:space="preserve">. According to </w:t>
      </w:r>
      <w:r w:rsidR="005434FB" w:rsidRPr="00F72ED4">
        <w:rPr>
          <w:rFonts w:ascii="Calibri" w:hAnsi="Calibri"/>
          <w:sz w:val="24"/>
          <w:szCs w:val="24"/>
        </w:rPr>
        <w:t xml:space="preserve">the </w:t>
      </w:r>
      <w:r w:rsidRPr="00F72ED4">
        <w:rPr>
          <w:rFonts w:ascii="Calibri" w:hAnsi="Calibri"/>
          <w:sz w:val="24"/>
          <w:szCs w:val="24"/>
        </w:rPr>
        <w:t xml:space="preserve">recent forecasts from the </w:t>
      </w:r>
      <w:r w:rsidR="00644855" w:rsidRPr="00F72ED4">
        <w:rPr>
          <w:rFonts w:ascii="Calibri" w:hAnsi="Calibri"/>
          <w:sz w:val="24"/>
          <w:szCs w:val="24"/>
        </w:rPr>
        <w:t>International Monetary Fund (IMF)</w:t>
      </w:r>
      <w:r w:rsidRPr="00F72ED4">
        <w:rPr>
          <w:rFonts w:ascii="Calibri" w:hAnsi="Calibri"/>
          <w:sz w:val="24"/>
          <w:szCs w:val="24"/>
        </w:rPr>
        <w:t xml:space="preserve">, </w:t>
      </w:r>
      <w:proofErr w:type="spellStart"/>
      <w:r w:rsidRPr="00F72ED4">
        <w:rPr>
          <w:rFonts w:ascii="Calibri" w:hAnsi="Calibri"/>
          <w:sz w:val="24"/>
          <w:szCs w:val="24"/>
        </w:rPr>
        <w:t>Keltron’s</w:t>
      </w:r>
      <w:proofErr w:type="spellEnd"/>
      <w:r w:rsidRPr="00F72ED4">
        <w:rPr>
          <w:rFonts w:ascii="Calibri" w:hAnsi="Calibri"/>
          <w:sz w:val="24"/>
          <w:szCs w:val="24"/>
        </w:rPr>
        <w:t xml:space="preserve"> GDP is expected to grow by 1.3% in 2025. As one of </w:t>
      </w:r>
      <w:proofErr w:type="spellStart"/>
      <w:r w:rsidRPr="00F72ED4">
        <w:rPr>
          <w:rFonts w:ascii="Calibri" w:hAnsi="Calibri"/>
          <w:sz w:val="24"/>
          <w:szCs w:val="24"/>
        </w:rPr>
        <w:t>Keltron’s</w:t>
      </w:r>
      <w:proofErr w:type="spellEnd"/>
      <w:r w:rsidRPr="00F72ED4">
        <w:rPr>
          <w:rFonts w:ascii="Calibri" w:hAnsi="Calibri"/>
          <w:sz w:val="24"/>
          <w:szCs w:val="24"/>
        </w:rPr>
        <w:t xml:space="preserve"> most important industrial sectors, telecommunications generated approximately €34 billion in 2024 and is forecast to grow at 3.7% annually to €50 billion by 2034. There are roughly 11,800 telecoms firms registered in the </w:t>
      </w:r>
      <w:proofErr w:type="spellStart"/>
      <w:r w:rsidRPr="00F72ED4">
        <w:rPr>
          <w:rFonts w:ascii="Calibri" w:hAnsi="Calibri"/>
          <w:sz w:val="24"/>
          <w:szCs w:val="24"/>
        </w:rPr>
        <w:t>Keltron</w:t>
      </w:r>
      <w:proofErr w:type="spellEnd"/>
      <w:r w:rsidRPr="00F72ED4">
        <w:rPr>
          <w:rFonts w:ascii="Calibri" w:hAnsi="Calibri"/>
          <w:sz w:val="24"/>
          <w:szCs w:val="24"/>
        </w:rPr>
        <w:t xml:space="preserve"> and about 2,800 are active in advanced connectivity technologies such as 5G/6G R&amp;D, satellite links, photonics and AI-enabled networks; these firms contributed an estimated </w:t>
      </w:r>
      <w:bookmarkStart w:id="2" w:name="OLE_LINK2"/>
      <w:r w:rsidRPr="00F72ED4">
        <w:rPr>
          <w:rFonts w:ascii="Calibri" w:hAnsi="Calibri"/>
          <w:sz w:val="24"/>
          <w:szCs w:val="24"/>
        </w:rPr>
        <w:t>€</w:t>
      </w:r>
      <w:bookmarkEnd w:id="2"/>
      <w:r w:rsidRPr="00F72ED4">
        <w:rPr>
          <w:rFonts w:ascii="Calibri" w:hAnsi="Calibri"/>
          <w:sz w:val="24"/>
          <w:szCs w:val="24"/>
        </w:rPr>
        <w:t xml:space="preserve">11.1 billion of gross value </w:t>
      </w:r>
      <w:r w:rsidR="005207C3" w:rsidRPr="00F72ED4">
        <w:rPr>
          <w:rFonts w:ascii="Calibri" w:hAnsi="Calibri"/>
          <w:sz w:val="24"/>
          <w:szCs w:val="24"/>
        </w:rPr>
        <w:t>growth</w:t>
      </w:r>
      <w:r w:rsidRPr="00F72ED4">
        <w:rPr>
          <w:rFonts w:ascii="Calibri" w:hAnsi="Calibri"/>
          <w:sz w:val="24"/>
          <w:szCs w:val="24"/>
        </w:rPr>
        <w:t xml:space="preserve"> in 2024. </w:t>
      </w:r>
      <w:bookmarkEnd w:id="0"/>
    </w:p>
    <w:p w14:paraId="5D5355E9" w14:textId="30CB823D"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bookmarkStart w:id="3" w:name="OLE_LINK32"/>
      <w:r w:rsidRPr="00F72ED4">
        <w:rPr>
          <w:rFonts w:ascii="Calibri" w:eastAsiaTheme="minorHAnsi" w:hAnsi="Calibri"/>
          <w:sz w:val="24"/>
          <w:szCs w:val="24"/>
        </w:rPr>
        <w:t xml:space="preserve">The Helvetian economy has been stagnant for several years, showing little momentum since mid-2022. </w:t>
      </w:r>
      <w:r w:rsidR="00D47CE4" w:rsidRPr="00F72ED4">
        <w:rPr>
          <w:rFonts w:ascii="Calibri" w:eastAsiaTheme="minorHAnsi" w:hAnsi="Calibri"/>
          <w:sz w:val="24"/>
          <w:szCs w:val="24"/>
        </w:rPr>
        <w:t>After a modest quarter-on-quarter increase of 0.2% in the first quarter of 2025, the economy declined by 0.3% in the second quarter.</w:t>
      </w:r>
      <w:r w:rsidRPr="00F72ED4">
        <w:rPr>
          <w:rFonts w:ascii="Calibri" w:eastAsiaTheme="minorHAnsi" w:hAnsi="Calibri"/>
          <w:sz w:val="24"/>
          <w:szCs w:val="24"/>
        </w:rPr>
        <w:t xml:space="preserve"> </w:t>
      </w:r>
      <w:r w:rsidR="00435512" w:rsidRPr="00F72ED4">
        <w:rPr>
          <w:rFonts w:ascii="Calibri" w:eastAsiaTheme="minorHAnsi" w:hAnsi="Calibri"/>
          <w:sz w:val="24"/>
          <w:szCs w:val="24"/>
        </w:rPr>
        <w:t>the fundamental reasons</w:t>
      </w:r>
      <w:r w:rsidR="007649FB" w:rsidRPr="00F72ED4">
        <w:rPr>
          <w:rFonts w:ascii="Calibri" w:eastAsiaTheme="minorHAnsi" w:hAnsi="Calibri"/>
          <w:sz w:val="24"/>
          <w:szCs w:val="24"/>
        </w:rPr>
        <w:t xml:space="preserve"> are well acknowledged since</w:t>
      </w:r>
      <w:r w:rsidR="00435512" w:rsidRPr="00F72ED4">
        <w:rPr>
          <w:rFonts w:ascii="Calibri" w:eastAsiaTheme="minorHAnsi" w:hAnsi="Calibri"/>
          <w:sz w:val="24"/>
          <w:szCs w:val="24"/>
        </w:rPr>
        <w:t xml:space="preserve"> the Russia’s war in Ukraine has left Helvetian industry higher energy costs in structure,</w:t>
      </w:r>
      <w:r w:rsidR="007649FB" w:rsidRPr="00F72ED4">
        <w:rPr>
          <w:rFonts w:ascii="Calibri" w:eastAsiaTheme="minorHAnsi" w:hAnsi="Calibri"/>
          <w:sz w:val="24"/>
          <w:szCs w:val="24"/>
        </w:rPr>
        <w:t xml:space="preserve"> </w:t>
      </w:r>
      <w:r w:rsidR="00435512" w:rsidRPr="00F72ED4">
        <w:rPr>
          <w:rFonts w:ascii="Calibri" w:eastAsiaTheme="minorHAnsi" w:hAnsi="Calibri"/>
          <w:sz w:val="24"/>
          <w:szCs w:val="24"/>
        </w:rPr>
        <w:t>the United States’ reciprocal tariffs has disrupted the international investment and trade flow; and the ageing of the workforce has made an adverse effect on the productivity.</w:t>
      </w:r>
      <w:r w:rsidRPr="00F72ED4">
        <w:rPr>
          <w:rFonts w:ascii="Calibri" w:eastAsiaTheme="minorHAnsi" w:hAnsi="Calibri"/>
          <w:sz w:val="24"/>
          <w:szCs w:val="24"/>
        </w:rPr>
        <w:t xml:space="preserve"> </w:t>
      </w:r>
      <w:r w:rsidR="007649FB" w:rsidRPr="00F72ED4">
        <w:rPr>
          <w:rFonts w:ascii="Calibri" w:eastAsiaTheme="minorHAnsi" w:hAnsi="Calibri"/>
          <w:sz w:val="24"/>
          <w:szCs w:val="24"/>
        </w:rPr>
        <w:t>The economic growth in Helvetia’s telecommunication sector in 2025 is the fastest among the whole industrial landscape, aimed at escaping the stagnant economic status.</w:t>
      </w:r>
      <w:r w:rsidRPr="00F72ED4">
        <w:rPr>
          <w:rFonts w:ascii="Calibri" w:eastAsiaTheme="minorHAnsi" w:hAnsi="Calibri"/>
          <w:sz w:val="24"/>
          <w:szCs w:val="24"/>
        </w:rPr>
        <w:t xml:space="preserve"> </w:t>
      </w:r>
      <w:r w:rsidR="007649FB" w:rsidRPr="00F72ED4">
        <w:rPr>
          <w:rFonts w:ascii="Calibri" w:eastAsiaTheme="minorHAnsi" w:hAnsi="Calibri"/>
          <w:sz w:val="24"/>
          <w:szCs w:val="24"/>
        </w:rPr>
        <w:t>In 2025, Helvetia’s telecommunication market will reach approximately €82 billion in transaction value, making it one of the largest national markets worldwide.</w:t>
      </w:r>
      <w:r w:rsidRPr="00F72ED4">
        <w:rPr>
          <w:rFonts w:ascii="Calibri" w:eastAsiaTheme="minorHAnsi" w:hAnsi="Calibri"/>
          <w:sz w:val="24"/>
          <w:szCs w:val="24"/>
        </w:rPr>
        <w:t xml:space="preserve"> </w:t>
      </w:r>
      <w:r w:rsidR="00750A25" w:rsidRPr="00F72ED4">
        <w:rPr>
          <w:rFonts w:ascii="Calibri" w:eastAsiaTheme="minorHAnsi" w:hAnsi="Calibri"/>
          <w:sz w:val="24"/>
          <w:szCs w:val="24"/>
        </w:rPr>
        <w:t>It has been predicted by analysts that by 2033, the compound annual growth rate will reach 5.5%, roughly three times the expected growth rate of Helvetian’s GDP</w:t>
      </w:r>
      <w:r w:rsidRPr="00F72ED4">
        <w:rPr>
          <w:rFonts w:ascii="Calibri" w:eastAsiaTheme="minorHAnsi" w:hAnsi="Calibri"/>
          <w:sz w:val="24"/>
          <w:szCs w:val="24"/>
        </w:rPr>
        <w:t xml:space="preserve">. </w:t>
      </w:r>
      <w:bookmarkEnd w:id="3"/>
    </w:p>
    <w:p w14:paraId="119D134E"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r w:rsidRPr="00F72ED4">
        <w:rPr>
          <w:rFonts w:ascii="Calibri" w:eastAsiaTheme="minorHAnsi" w:hAnsi="Calibri"/>
          <w:b/>
          <w:bCs/>
          <w:sz w:val="24"/>
          <w:szCs w:val="24"/>
        </w:rPr>
        <w:t xml:space="preserve">Telecommunications industry and technological advancement </w:t>
      </w:r>
    </w:p>
    <w:p w14:paraId="732F50CB" w14:textId="69581800"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The telecommunications sector today is a vast, rapidly evolving ecosystem that underpins nearly every aspect of modern life. In 2024 the global market for telecom service</w:t>
      </w:r>
      <w:r w:rsidR="001B0572" w:rsidRPr="00F72ED4">
        <w:rPr>
          <w:rFonts w:ascii="Calibri" w:eastAsiaTheme="minorHAnsi" w:hAnsi="Calibri"/>
        </w:rPr>
        <w:t xml:space="preserve"> </w:t>
      </w:r>
      <w:r w:rsidR="001B0572" w:rsidRPr="00F72ED4">
        <w:rPr>
          <w:rFonts w:ascii="Calibri" w:eastAsiaTheme="minorHAnsi" w:hAnsi="Calibri"/>
          <w:sz w:val="24"/>
          <w:szCs w:val="24"/>
        </w:rPr>
        <w:t>grew by about 3% and reached approximately USD 1.53 trillion,</w:t>
      </w:r>
      <w:r w:rsidRPr="00F72ED4">
        <w:rPr>
          <w:rFonts w:ascii="Calibri" w:eastAsiaTheme="minorHAnsi" w:hAnsi="Calibri"/>
          <w:sz w:val="24"/>
          <w:szCs w:val="24"/>
        </w:rPr>
        <w:t xml:space="preserve"> </w:t>
      </w:r>
      <w:r w:rsidR="00AF6709" w:rsidRPr="00F72ED4">
        <w:rPr>
          <w:rFonts w:ascii="Calibri" w:eastAsiaTheme="minorHAnsi" w:hAnsi="Calibri"/>
          <w:sz w:val="24"/>
          <w:szCs w:val="24"/>
        </w:rPr>
        <w:t>primarily driven by the continued rollout of 5G and the rise of fixed wireless access.</w:t>
      </w:r>
      <w:r w:rsidRPr="00F72ED4">
        <w:rPr>
          <w:rFonts w:ascii="Calibri" w:eastAsiaTheme="minorHAnsi" w:hAnsi="Calibri"/>
          <w:sz w:val="24"/>
          <w:szCs w:val="24"/>
        </w:rPr>
        <w:t xml:space="preserve"> At the heart of this network evolution is 5G, now so widespread that over 80 percent of the world’s population is expected to have access by the end of 2025. Unlike earlier generations, 5G was conceived not merely as a faster radio link but as a unified platform that integrates radio access, edge computing and artificial intelligence.</w:t>
      </w:r>
    </w:p>
    <w:p w14:paraId="41ABA61E" w14:textId="723E649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Telecommunication is the most patent-intensive industry </w:t>
      </w:r>
      <w:r w:rsidR="00B02D48" w:rsidRPr="00F72ED4">
        <w:rPr>
          <w:rFonts w:ascii="Calibri" w:eastAsiaTheme="minorHAnsi" w:hAnsi="Calibri"/>
          <w:sz w:val="24"/>
          <w:szCs w:val="24"/>
        </w:rPr>
        <w:t>in the world</w:t>
      </w:r>
      <w:r w:rsidRPr="00F72ED4">
        <w:rPr>
          <w:rFonts w:ascii="Calibri" w:eastAsiaTheme="minorHAnsi" w:hAnsi="Calibri"/>
          <w:sz w:val="24"/>
          <w:szCs w:val="24"/>
        </w:rPr>
        <w:t xml:space="preserve">. </w:t>
      </w:r>
      <w:r w:rsidR="0054452D" w:rsidRPr="00F72ED4">
        <w:rPr>
          <w:rFonts w:ascii="Calibri" w:eastAsiaTheme="minorHAnsi" w:hAnsi="Calibri"/>
          <w:sz w:val="24"/>
          <w:szCs w:val="24"/>
        </w:rPr>
        <w:t xml:space="preserve">In fact, none </w:t>
      </w:r>
      <w:r w:rsidR="002E7F02" w:rsidRPr="00F72ED4">
        <w:rPr>
          <w:rFonts w:ascii="Calibri" w:eastAsiaTheme="minorHAnsi" w:hAnsi="Calibri"/>
          <w:sz w:val="24"/>
          <w:szCs w:val="24"/>
        </w:rPr>
        <w:t>of the companies possesses</w:t>
      </w:r>
      <w:r w:rsidRPr="00F72ED4">
        <w:rPr>
          <w:rFonts w:ascii="Calibri" w:eastAsiaTheme="minorHAnsi" w:hAnsi="Calibri"/>
          <w:sz w:val="24"/>
          <w:szCs w:val="24"/>
        </w:rPr>
        <w:t xml:space="preserve"> all the technology required to </w:t>
      </w:r>
      <w:r w:rsidR="0054452D" w:rsidRPr="00F72ED4">
        <w:rPr>
          <w:rFonts w:ascii="Calibri" w:eastAsiaTheme="minorHAnsi" w:hAnsi="Calibri"/>
          <w:sz w:val="24"/>
          <w:szCs w:val="24"/>
        </w:rPr>
        <w:t xml:space="preserve">invent </w:t>
      </w:r>
      <w:r w:rsidRPr="00F72ED4">
        <w:rPr>
          <w:rFonts w:ascii="Calibri" w:eastAsiaTheme="minorHAnsi" w:hAnsi="Calibri"/>
          <w:sz w:val="24"/>
          <w:szCs w:val="24"/>
        </w:rPr>
        <w:t>a smartphone or</w:t>
      </w:r>
      <w:r w:rsidR="0054452D" w:rsidRPr="00F72ED4">
        <w:rPr>
          <w:rFonts w:ascii="Calibri" w:eastAsiaTheme="minorHAnsi" w:hAnsi="Calibri"/>
          <w:sz w:val="24"/>
          <w:szCs w:val="24"/>
        </w:rPr>
        <w:t xml:space="preserve"> build</w:t>
      </w:r>
      <w:r w:rsidRPr="00F72ED4">
        <w:rPr>
          <w:rFonts w:ascii="Calibri" w:eastAsiaTheme="minorHAnsi" w:hAnsi="Calibri"/>
          <w:sz w:val="24"/>
          <w:szCs w:val="24"/>
        </w:rPr>
        <w:t xml:space="preserve"> a network. A single 5G device can implement thousands of patented technologies from hundreds of different companies. </w:t>
      </w:r>
      <w:r w:rsidR="00DA347B" w:rsidRPr="00F72ED4">
        <w:rPr>
          <w:rFonts w:ascii="Calibri" w:eastAsiaTheme="minorHAnsi" w:hAnsi="Calibri"/>
          <w:sz w:val="24"/>
          <w:szCs w:val="24"/>
        </w:rPr>
        <w:t>Therefore, the 5G patents cover a wide range of areas</w:t>
      </w:r>
      <w:r w:rsidRPr="00F72ED4">
        <w:rPr>
          <w:rFonts w:ascii="Calibri" w:eastAsiaTheme="minorHAnsi" w:hAnsi="Calibri"/>
          <w:sz w:val="24"/>
          <w:szCs w:val="24"/>
        </w:rPr>
        <w:t xml:space="preserve">, including core network technologies, radio interface and signal processing, device and chipset architecture. </w:t>
      </w:r>
    </w:p>
    <w:p w14:paraId="5F1A3E22" w14:textId="18D868C7" w:rsidR="00097DBB" w:rsidRPr="00F72ED4" w:rsidRDefault="00903C24"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Two factors can be used for explanation</w:t>
      </w:r>
      <w:r w:rsidR="00294422" w:rsidRPr="00F72ED4">
        <w:rPr>
          <w:rFonts w:ascii="Calibri" w:eastAsiaTheme="minorHAnsi" w:hAnsi="Calibri"/>
          <w:sz w:val="24"/>
          <w:szCs w:val="24"/>
        </w:rPr>
        <w:t xml:space="preserve"> First, technical standards—GSM, UMTS, LTE, 5G NR, Wi-Fi, DOCSIS—are developed in open fora such as </w:t>
      </w:r>
      <w:r w:rsidR="00030F66" w:rsidRPr="00F72ED4">
        <w:rPr>
          <w:rFonts w:ascii="Calibri" w:eastAsiaTheme="minorHAnsi" w:hAnsi="Calibri"/>
          <w:sz w:val="24"/>
          <w:szCs w:val="24"/>
        </w:rPr>
        <w:t xml:space="preserve">the </w:t>
      </w:r>
      <w:r w:rsidR="00294422" w:rsidRPr="00F72ED4">
        <w:rPr>
          <w:rFonts w:ascii="Calibri" w:eastAsiaTheme="minorHAnsi" w:hAnsi="Calibri"/>
          <w:sz w:val="24"/>
          <w:szCs w:val="24"/>
        </w:rPr>
        <w:t xml:space="preserve">3rd </w:t>
      </w:r>
      <w:r w:rsidR="00294422" w:rsidRPr="00F72ED4">
        <w:rPr>
          <w:rFonts w:ascii="Calibri" w:eastAsiaTheme="minorHAnsi" w:hAnsi="Calibri"/>
          <w:sz w:val="24"/>
          <w:szCs w:val="24"/>
        </w:rPr>
        <w:lastRenderedPageBreak/>
        <w:t xml:space="preserve">Generation Partnership Project (3GPP) and </w:t>
      </w:r>
      <w:bookmarkStart w:id="4" w:name="OLE_LINK1"/>
      <w:r w:rsidR="00030F66" w:rsidRPr="00F72ED4">
        <w:rPr>
          <w:rFonts w:ascii="Calibri" w:eastAsiaTheme="minorHAnsi" w:hAnsi="Calibri"/>
          <w:sz w:val="24"/>
          <w:szCs w:val="24"/>
        </w:rPr>
        <w:t xml:space="preserve">the </w:t>
      </w:r>
      <w:r w:rsidR="00294422" w:rsidRPr="00F72ED4">
        <w:rPr>
          <w:rFonts w:ascii="Calibri" w:eastAsiaTheme="minorHAnsi" w:hAnsi="Calibri"/>
          <w:sz w:val="24"/>
          <w:szCs w:val="24"/>
        </w:rPr>
        <w:t>Institute of Electrical and Electronics Engineers (IEEE</w:t>
      </w:r>
      <w:bookmarkEnd w:id="4"/>
      <w:r w:rsidR="00294422" w:rsidRPr="00F72ED4">
        <w:rPr>
          <w:rFonts w:ascii="Calibri" w:eastAsiaTheme="minorHAnsi" w:hAnsi="Calibri"/>
          <w:sz w:val="24"/>
          <w:szCs w:val="24"/>
        </w:rPr>
        <w:t xml:space="preserve">). </w:t>
      </w:r>
      <w:r w:rsidR="00EF445A" w:rsidRPr="00F72ED4">
        <w:rPr>
          <w:rFonts w:ascii="Calibri" w:eastAsiaTheme="minorHAnsi" w:hAnsi="Calibri"/>
          <w:sz w:val="24"/>
          <w:szCs w:val="24"/>
        </w:rPr>
        <w:t>In order to guarantee the interoperability, the same set of technologies must be used by each implementer.</w:t>
      </w:r>
      <w:r w:rsidR="00294422" w:rsidRPr="00F72ED4">
        <w:rPr>
          <w:rFonts w:ascii="Calibri" w:eastAsiaTheme="minorHAnsi" w:hAnsi="Calibri"/>
          <w:sz w:val="24"/>
          <w:szCs w:val="24"/>
        </w:rPr>
        <w:t xml:space="preserve"> A patent that is “essential” to a standard therefore becomes a gatekeeper to an entire market segment. Second, the industry’s rapid development means that inventions must be protected quickly and globally; </w:t>
      </w:r>
      <w:r w:rsidR="006D756C" w:rsidRPr="00F72ED4">
        <w:rPr>
          <w:rFonts w:ascii="Calibri" w:eastAsiaTheme="minorHAnsi" w:hAnsi="Calibri"/>
          <w:sz w:val="24"/>
          <w:szCs w:val="24"/>
        </w:rPr>
        <w:t>e</w:t>
      </w:r>
      <w:r w:rsidR="00F75A80" w:rsidRPr="00F72ED4">
        <w:rPr>
          <w:rFonts w:ascii="Calibri" w:eastAsiaTheme="minorHAnsi" w:hAnsi="Calibri"/>
          <w:sz w:val="24"/>
          <w:szCs w:val="24"/>
        </w:rPr>
        <w:t xml:space="preserve">ven one-year longer can cause damage to the commercial advantages. </w:t>
      </w:r>
      <w:r w:rsidR="00D53CBD" w:rsidRPr="00F72ED4">
        <w:rPr>
          <w:rFonts w:ascii="Calibri" w:eastAsiaTheme="minorHAnsi" w:hAnsi="Calibri"/>
          <w:sz w:val="24"/>
          <w:szCs w:val="24"/>
        </w:rPr>
        <w:t>Under this circumstance, companies</w:t>
      </w:r>
      <w:r w:rsidR="00387066" w:rsidRPr="00F72ED4">
        <w:rPr>
          <w:rFonts w:ascii="Calibri" w:eastAsiaTheme="minorHAnsi" w:hAnsi="Calibri"/>
          <w:sz w:val="24"/>
          <w:szCs w:val="24"/>
        </w:rPr>
        <w:t xml:space="preserve"> often</w:t>
      </w:r>
      <w:r w:rsidR="00D53CBD" w:rsidRPr="00F72ED4">
        <w:rPr>
          <w:rFonts w:ascii="Calibri" w:eastAsiaTheme="minorHAnsi" w:hAnsi="Calibri"/>
          <w:sz w:val="24"/>
          <w:szCs w:val="24"/>
        </w:rPr>
        <w:t xml:space="preserve"> file the patent application as early and broadly as possible. Furthermore, when faced with disputes, litigation has to be progressed in an aggressive way.</w:t>
      </w:r>
    </w:p>
    <w:p w14:paraId="67DA41FD" w14:textId="5491956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Analyses of patents declared essential to the 5G standard show that, as of late 2024, roughly 555000 patent families had been submitted to the European Telecommunications Standards Institute (ETSI), spanning radio protocols, network architecture, antenna design, power management and security. Geographically, the United States hosts the largest single inventory (about 84500 patent families), followed closely by China (77700) and Europe (62500). These numbers reflect not only where invention occurs</w:t>
      </w:r>
      <w:r w:rsidR="00824A51" w:rsidRPr="00F72ED4">
        <w:rPr>
          <w:rFonts w:ascii="Calibri" w:eastAsiaTheme="minorHAnsi" w:hAnsi="Calibri"/>
          <w:sz w:val="24"/>
          <w:szCs w:val="24"/>
        </w:rPr>
        <w:t>,</w:t>
      </w:r>
      <w:r w:rsidRPr="00F72ED4">
        <w:rPr>
          <w:rFonts w:ascii="Calibri" w:eastAsiaTheme="minorHAnsi" w:hAnsi="Calibri"/>
          <w:sz w:val="24"/>
          <w:szCs w:val="24"/>
        </w:rPr>
        <w:t xml:space="preserve"> but also where companies expect to sue or be sued: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and Helvetia, as European countries, remain the most attractive venues for patent litigation because of mature jurisprudence and </w:t>
      </w:r>
      <w:r w:rsidR="00BE2CFB" w:rsidRPr="00F72ED4">
        <w:rPr>
          <w:rFonts w:ascii="Calibri" w:eastAsiaTheme="minorHAnsi" w:hAnsi="Calibri"/>
          <w:sz w:val="24"/>
          <w:szCs w:val="24"/>
        </w:rPr>
        <w:t>high</w:t>
      </w:r>
      <w:r w:rsidRPr="00F72ED4">
        <w:rPr>
          <w:rFonts w:ascii="Calibri" w:eastAsiaTheme="minorHAnsi" w:hAnsi="Calibri"/>
          <w:sz w:val="24"/>
          <w:szCs w:val="24"/>
        </w:rPr>
        <w:t xml:space="preserve"> damages.</w:t>
      </w:r>
    </w:p>
    <w:p w14:paraId="05ED586D"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r w:rsidRPr="00F72ED4">
        <w:rPr>
          <w:rFonts w:ascii="Calibri" w:eastAsiaTheme="minorHAnsi" w:hAnsi="Calibri"/>
          <w:b/>
          <w:bCs/>
          <w:sz w:val="24"/>
          <w:szCs w:val="24"/>
        </w:rPr>
        <w:t>Standard Essential Patents (SEPs)</w:t>
      </w:r>
    </w:p>
    <w:p w14:paraId="37E3E861" w14:textId="54B8CC76"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 </w:t>
      </w:r>
      <w:r w:rsidR="00907AF6" w:rsidRPr="00F72ED4">
        <w:rPr>
          <w:rFonts w:ascii="Calibri" w:eastAsiaTheme="minorHAnsi" w:hAnsi="Calibri"/>
          <w:sz w:val="24"/>
          <w:szCs w:val="24"/>
        </w:rPr>
        <w:t>s</w:t>
      </w:r>
      <w:r w:rsidRPr="00F72ED4">
        <w:rPr>
          <w:rFonts w:ascii="Calibri" w:eastAsiaTheme="minorHAnsi" w:hAnsi="Calibri"/>
          <w:sz w:val="24"/>
          <w:szCs w:val="24"/>
        </w:rPr>
        <w:t xml:space="preserve">tandard </w:t>
      </w:r>
      <w:r w:rsidR="00907AF6" w:rsidRPr="00F72ED4">
        <w:rPr>
          <w:rFonts w:ascii="Calibri" w:eastAsiaTheme="minorHAnsi" w:hAnsi="Calibri"/>
          <w:sz w:val="24"/>
          <w:szCs w:val="24"/>
        </w:rPr>
        <w:t>e</w:t>
      </w:r>
      <w:r w:rsidRPr="00F72ED4">
        <w:rPr>
          <w:rFonts w:ascii="Calibri" w:eastAsiaTheme="minorHAnsi" w:hAnsi="Calibri"/>
          <w:sz w:val="24"/>
          <w:szCs w:val="24"/>
        </w:rPr>
        <w:t xml:space="preserve">ssential </w:t>
      </w:r>
      <w:r w:rsidR="00907AF6" w:rsidRPr="00F72ED4">
        <w:rPr>
          <w:rFonts w:ascii="Calibri" w:eastAsiaTheme="minorHAnsi" w:hAnsi="Calibri"/>
          <w:sz w:val="24"/>
          <w:szCs w:val="24"/>
        </w:rPr>
        <w:t>p</w:t>
      </w:r>
      <w:r w:rsidRPr="00F72ED4">
        <w:rPr>
          <w:rFonts w:ascii="Calibri" w:eastAsiaTheme="minorHAnsi" w:hAnsi="Calibri"/>
          <w:sz w:val="24"/>
          <w:szCs w:val="24"/>
        </w:rPr>
        <w:t xml:space="preserve">atent (SEP) is a patent that protects an invention that must be used to comply with or implement a specific technical standard. Technical standards ensure interoperability, safety, and compatibility across products and services, particularly in the digital economy where technologies like Wi-Fi (IEEE 802.11), USB, and 5G rely on SEPs. These patents are crucial for enabling </w:t>
      </w:r>
      <w:r w:rsidR="00831223" w:rsidRPr="00F72ED4">
        <w:rPr>
          <w:rFonts w:ascii="Calibri" w:eastAsiaTheme="minorHAnsi" w:hAnsi="Calibri"/>
          <w:sz w:val="24"/>
          <w:szCs w:val="24"/>
        </w:rPr>
        <w:t xml:space="preserve">the </w:t>
      </w:r>
      <w:r w:rsidRPr="00F72ED4">
        <w:rPr>
          <w:rFonts w:ascii="Calibri" w:eastAsiaTheme="minorHAnsi" w:hAnsi="Calibri"/>
          <w:sz w:val="24"/>
          <w:szCs w:val="24"/>
        </w:rPr>
        <w:t>widespread adoption of technologies while ensuring that innovators</w:t>
      </w:r>
      <w:r w:rsidR="00831223" w:rsidRPr="00F72ED4">
        <w:rPr>
          <w:rFonts w:ascii="Calibri" w:eastAsiaTheme="minorHAnsi" w:hAnsi="Calibri"/>
          <w:sz w:val="24"/>
          <w:szCs w:val="24"/>
        </w:rPr>
        <w:t xml:space="preserve"> can be </w:t>
      </w:r>
      <w:r w:rsidRPr="00F72ED4">
        <w:rPr>
          <w:rFonts w:ascii="Calibri" w:eastAsiaTheme="minorHAnsi" w:hAnsi="Calibri"/>
          <w:sz w:val="24"/>
          <w:szCs w:val="24"/>
        </w:rPr>
        <w:t xml:space="preserve">rewarded for their contributions. </w:t>
      </w:r>
    </w:p>
    <w:p w14:paraId="7C3FD993" w14:textId="7BC6F474"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Standards</w:t>
      </w:r>
      <w:r w:rsidR="00E15145" w:rsidRPr="00F72ED4">
        <w:rPr>
          <w:rFonts w:ascii="Calibri" w:eastAsiaTheme="minorHAnsi" w:hAnsi="Calibri"/>
          <w:sz w:val="24"/>
          <w:szCs w:val="24"/>
        </w:rPr>
        <w:t xml:space="preserve"> can be</w:t>
      </w:r>
      <w:r w:rsidRPr="00F72ED4">
        <w:rPr>
          <w:rFonts w:ascii="Calibri" w:eastAsiaTheme="minorHAnsi" w:hAnsi="Calibri"/>
          <w:sz w:val="24"/>
          <w:szCs w:val="24"/>
        </w:rPr>
        <w:t xml:space="preserve"> implemented globally, and </w:t>
      </w:r>
      <w:r w:rsidR="00E15145" w:rsidRPr="00F72ED4">
        <w:rPr>
          <w:rFonts w:ascii="Calibri" w:eastAsiaTheme="minorHAnsi" w:hAnsi="Calibri"/>
          <w:sz w:val="24"/>
          <w:szCs w:val="24"/>
        </w:rPr>
        <w:t>products (e.g., smartphones) can be</w:t>
      </w:r>
      <w:r w:rsidRPr="00F72ED4">
        <w:rPr>
          <w:rFonts w:ascii="Calibri" w:eastAsiaTheme="minorHAnsi" w:hAnsi="Calibri"/>
          <w:sz w:val="24"/>
          <w:szCs w:val="24"/>
        </w:rPr>
        <w:t xml:space="preserve"> sold worldwide. </w:t>
      </w:r>
      <w:r w:rsidR="0098264E" w:rsidRPr="00F72ED4">
        <w:rPr>
          <w:rFonts w:ascii="Calibri" w:eastAsiaTheme="minorHAnsi" w:hAnsi="Calibri"/>
          <w:sz w:val="24"/>
          <w:szCs w:val="24"/>
        </w:rPr>
        <w:t>A global license can be used to avoid the conflicts for jurisdiction and ensure the consistent licensing terms across markets, which is more efficient than the country-by-country negotiation.</w:t>
      </w:r>
      <w:r w:rsidRPr="00F72ED4">
        <w:rPr>
          <w:rFonts w:ascii="Calibri" w:eastAsiaTheme="minorHAnsi" w:hAnsi="Calibri"/>
          <w:sz w:val="24"/>
          <w:szCs w:val="24"/>
        </w:rPr>
        <w:t xml:space="preserve"> SEP holders often declare multiple patents essential to a standard. Licensing these patents as a portfolio (rather than individually) reduces transaction costs, avoids piecemeal litigation, and reflects how licenses are typically negotiated in the marketplace. </w:t>
      </w:r>
    </w:p>
    <w:p w14:paraId="7D65F66E" w14:textId="44FC5F56"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Without rules, SEP holders could wield enormous power. They could potentially “hold-up” implementers by demanding excessive licensing fees or seeking legal injunctions after companies have already invested billions in creating products based on the standard. They could also suppress competition by refusing to license to certain companies, creating an unfair market advantage. Therefore, SEPs are typically subject to Fair, Reasonable, and Non-Discriminatory (FRAND) licensing terms, mandated by standard-setting organizations (SSOs) to prevent </w:t>
      </w:r>
      <w:r w:rsidR="007A2816" w:rsidRPr="00F72ED4">
        <w:rPr>
          <w:rFonts w:ascii="Calibri" w:eastAsiaTheme="minorHAnsi" w:hAnsi="Calibri"/>
          <w:sz w:val="24"/>
          <w:szCs w:val="24"/>
        </w:rPr>
        <w:t xml:space="preserve">the </w:t>
      </w:r>
      <w:r w:rsidRPr="00F72ED4">
        <w:rPr>
          <w:rFonts w:ascii="Calibri" w:eastAsiaTheme="minorHAnsi" w:hAnsi="Calibri"/>
          <w:sz w:val="24"/>
          <w:szCs w:val="24"/>
        </w:rPr>
        <w:t>abuse of market power. However, disputes often arise over what constitutes FRAND terms.</w:t>
      </w:r>
    </w:p>
    <w:p w14:paraId="193CA20C" w14:textId="2C5BE71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lastRenderedPageBreak/>
        <w:t xml:space="preserve">ETSI (European Telecommunications Standards Institute) is a key SSO in Europe, founded in 1988 and headquartered in France. It develops globally applicable standards for information and communications technologies (ICT), including telecommunications, broadcasting, and the internet. With over 900 member organizations from more than 60 countries, ETSI </w:t>
      </w:r>
      <w:r w:rsidR="00883BF6" w:rsidRPr="00F72ED4">
        <w:rPr>
          <w:rFonts w:ascii="Calibri" w:eastAsiaTheme="minorHAnsi" w:hAnsi="Calibri"/>
          <w:sz w:val="24"/>
          <w:szCs w:val="24"/>
        </w:rPr>
        <w:t xml:space="preserve">could </w:t>
      </w:r>
      <w:r w:rsidRPr="00F72ED4">
        <w:rPr>
          <w:rFonts w:ascii="Calibri" w:eastAsiaTheme="minorHAnsi" w:hAnsi="Calibri"/>
          <w:sz w:val="24"/>
          <w:szCs w:val="24"/>
        </w:rPr>
        <w:t>ensure</w:t>
      </w:r>
      <w:r w:rsidR="00883BF6" w:rsidRPr="00F72ED4">
        <w:rPr>
          <w:rFonts w:ascii="Calibri" w:eastAsiaTheme="minorHAnsi" w:hAnsi="Calibri"/>
          <w:sz w:val="24"/>
          <w:szCs w:val="24"/>
        </w:rPr>
        <w:t xml:space="preserve"> the</w:t>
      </w:r>
      <w:r w:rsidRPr="00F72ED4">
        <w:rPr>
          <w:rFonts w:ascii="Calibri" w:eastAsiaTheme="minorHAnsi" w:hAnsi="Calibri"/>
          <w:sz w:val="24"/>
          <w:szCs w:val="24"/>
        </w:rPr>
        <w:t xml:space="preserve"> technologies like mobile networks (e.g., GSM, 5G) and the Internet of Things (IoT) </w:t>
      </w:r>
      <w:r w:rsidR="00883BF6" w:rsidRPr="00F72ED4">
        <w:rPr>
          <w:rFonts w:ascii="Calibri" w:eastAsiaTheme="minorHAnsi" w:hAnsi="Calibri"/>
          <w:sz w:val="24"/>
          <w:szCs w:val="24"/>
        </w:rPr>
        <w:t>to be operated interoperable and efficiently</w:t>
      </w:r>
      <w:r w:rsidRPr="00F72ED4">
        <w:rPr>
          <w:rFonts w:ascii="Calibri" w:eastAsiaTheme="minorHAnsi" w:hAnsi="Calibri"/>
          <w:sz w:val="24"/>
          <w:szCs w:val="24"/>
        </w:rPr>
        <w:t>.</w:t>
      </w:r>
    </w:p>
    <w:p w14:paraId="6F2BB6AB"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r w:rsidRPr="00F72ED4">
        <w:rPr>
          <w:rFonts w:ascii="Calibri" w:eastAsiaTheme="minorHAnsi" w:hAnsi="Calibri"/>
          <w:b/>
          <w:bCs/>
          <w:sz w:val="24"/>
          <w:szCs w:val="24"/>
        </w:rPr>
        <w:t xml:space="preserve">SEP/FRAND disputes in </w:t>
      </w:r>
      <w:proofErr w:type="spellStart"/>
      <w:r w:rsidRPr="00F72ED4">
        <w:rPr>
          <w:rFonts w:ascii="Calibri" w:eastAsiaTheme="minorHAnsi" w:hAnsi="Calibri"/>
          <w:b/>
          <w:bCs/>
          <w:sz w:val="24"/>
          <w:szCs w:val="24"/>
        </w:rPr>
        <w:t>Keltron</w:t>
      </w:r>
      <w:proofErr w:type="spellEnd"/>
    </w:p>
    <w:p w14:paraId="6C339739" w14:textId="7A799AF1"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In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courts</w:t>
      </w:r>
      <w:r w:rsidR="00110306" w:rsidRPr="00F72ED4">
        <w:rPr>
          <w:rFonts w:ascii="Calibri" w:eastAsiaTheme="minorHAnsi" w:hAnsi="Calibri"/>
          <w:sz w:val="24"/>
          <w:szCs w:val="24"/>
        </w:rPr>
        <w:t xml:space="preserve"> adjudicate</w:t>
      </w:r>
      <w:r w:rsidRPr="00F72ED4">
        <w:rPr>
          <w:rFonts w:ascii="Calibri" w:eastAsiaTheme="minorHAnsi" w:hAnsi="Calibri"/>
          <w:sz w:val="24"/>
          <w:szCs w:val="24"/>
        </w:rPr>
        <w:t xml:space="preserve"> SEP/FRAND disputes primarily through contract and patent law, rather than antitrust or competition law. </w:t>
      </w:r>
      <w:r w:rsidR="0069401E" w:rsidRPr="00F72ED4">
        <w:rPr>
          <w:rFonts w:ascii="Calibri" w:eastAsiaTheme="minorHAnsi" w:hAnsi="Calibri"/>
          <w:sz w:val="24"/>
          <w:szCs w:val="24"/>
        </w:rPr>
        <w:t xml:space="preserve">The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courts view FRAND commitments as enforceable contractual obligations between SEP holders and SSOs, with implementers as third-party beneficiaries.</w:t>
      </w:r>
      <w:r w:rsidR="0069401E" w:rsidRPr="00F72ED4">
        <w:rPr>
          <w:rFonts w:ascii="Calibri" w:eastAsiaTheme="minorHAnsi" w:hAnsi="Calibri"/>
          <w:sz w:val="24"/>
          <w:szCs w:val="24"/>
        </w:rPr>
        <w:t xml:space="preserve"> Moreover, the</w:t>
      </w:r>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courts apply a high threshold for competition-law intervention in</w:t>
      </w:r>
      <w:r w:rsidR="0069401E" w:rsidRPr="00F72ED4">
        <w:rPr>
          <w:rFonts w:ascii="Calibri" w:eastAsiaTheme="minorHAnsi" w:hAnsi="Calibri"/>
          <w:sz w:val="24"/>
          <w:szCs w:val="24"/>
        </w:rPr>
        <w:t xml:space="preserve"> the</w:t>
      </w:r>
      <w:r w:rsidRPr="00F72ED4">
        <w:rPr>
          <w:rFonts w:ascii="Calibri" w:eastAsiaTheme="minorHAnsi" w:hAnsi="Calibri"/>
          <w:sz w:val="24"/>
          <w:szCs w:val="24"/>
        </w:rPr>
        <w:t xml:space="preserve"> FRAND disputes. </w:t>
      </w:r>
      <w:bookmarkStart w:id="5" w:name="OLE_LINK38"/>
      <w:r w:rsidRPr="00F72ED4">
        <w:rPr>
          <w:rFonts w:ascii="Calibri" w:eastAsiaTheme="minorHAnsi" w:hAnsi="Calibri"/>
          <w:sz w:val="24"/>
          <w:szCs w:val="24"/>
        </w:rPr>
        <w:t xml:space="preserve">Consistent </w:t>
      </w:r>
      <w:r w:rsidR="002A4E1F" w:rsidRPr="00F72ED4">
        <w:rPr>
          <w:rFonts w:ascii="Calibri" w:eastAsiaTheme="minorHAnsi" w:hAnsi="Calibri"/>
          <w:sz w:val="24"/>
          <w:szCs w:val="24"/>
        </w:rPr>
        <w:t>with</w:t>
      </w:r>
      <w:r w:rsidRPr="00F72ED4">
        <w:rPr>
          <w:rFonts w:ascii="Calibri" w:eastAsiaTheme="minorHAnsi" w:hAnsi="Calibri"/>
          <w:sz w:val="24"/>
          <w:szCs w:val="24"/>
        </w:rPr>
        <w:t xml:space="preserve"> </w:t>
      </w:r>
      <w:r w:rsidR="002A4E1F" w:rsidRPr="00F72ED4">
        <w:rPr>
          <w:rFonts w:ascii="Calibri" w:eastAsiaTheme="minorHAnsi" w:hAnsi="Calibri"/>
          <w:sz w:val="24"/>
          <w:szCs w:val="24"/>
        </w:rPr>
        <w:t>their</w:t>
      </w:r>
      <w:r w:rsidRPr="00F72ED4">
        <w:rPr>
          <w:rFonts w:ascii="Calibri" w:eastAsiaTheme="minorHAnsi" w:hAnsi="Calibri"/>
          <w:sz w:val="24"/>
          <w:szCs w:val="24"/>
        </w:rPr>
        <w:t xml:space="preserve"> jurisprudence, </w:t>
      </w:r>
      <w:r w:rsidR="00007523" w:rsidRPr="00F72ED4">
        <w:rPr>
          <w:rFonts w:ascii="Calibri" w:eastAsiaTheme="minorHAnsi" w:hAnsi="Calibri"/>
          <w:sz w:val="24"/>
          <w:szCs w:val="24"/>
        </w:rPr>
        <w:t>the C</w:t>
      </w:r>
      <w:r w:rsidRPr="00F72ED4">
        <w:rPr>
          <w:rFonts w:ascii="Calibri" w:eastAsiaTheme="minorHAnsi" w:hAnsi="Calibri"/>
          <w:sz w:val="24"/>
          <w:szCs w:val="24"/>
        </w:rPr>
        <w:t xml:space="preserve">ourts always emphasize that disputes over FRAND terms </w:t>
      </w:r>
      <w:r w:rsidR="00442D86" w:rsidRPr="00F72ED4">
        <w:rPr>
          <w:rFonts w:ascii="Calibri" w:eastAsiaTheme="minorHAnsi" w:hAnsi="Calibri"/>
          <w:sz w:val="24"/>
          <w:szCs w:val="24"/>
        </w:rPr>
        <w:t>shall</w:t>
      </w:r>
      <w:r w:rsidRPr="00F72ED4">
        <w:rPr>
          <w:rFonts w:ascii="Calibri" w:eastAsiaTheme="minorHAnsi" w:hAnsi="Calibri"/>
          <w:sz w:val="24"/>
          <w:szCs w:val="24"/>
        </w:rPr>
        <w:t xml:space="preserve"> be resolved through contract and patent law rather than antitrust remedies, cautioning against </w:t>
      </w:r>
      <w:r w:rsidR="002A4E1F" w:rsidRPr="00F72ED4">
        <w:rPr>
          <w:rFonts w:ascii="Calibri" w:eastAsiaTheme="minorHAnsi" w:hAnsi="Calibri"/>
          <w:sz w:val="24"/>
          <w:szCs w:val="24"/>
        </w:rPr>
        <w:t>the use of</w:t>
      </w:r>
      <w:r w:rsidRPr="00F72ED4">
        <w:rPr>
          <w:rFonts w:ascii="Calibri" w:eastAsiaTheme="minorHAnsi" w:hAnsi="Calibri"/>
          <w:sz w:val="24"/>
          <w:szCs w:val="24"/>
        </w:rPr>
        <w:t xml:space="preserve"> antitrust laws for what are essentially contractual disputes.</w:t>
      </w:r>
      <w:bookmarkEnd w:id="5"/>
      <w:r w:rsidRPr="00F72ED4">
        <w:rPr>
          <w:rFonts w:ascii="Calibri" w:eastAsiaTheme="minorHAnsi" w:hAnsi="Calibri"/>
          <w:sz w:val="24"/>
          <w:szCs w:val="24"/>
        </w:rPr>
        <w:t xml:space="preserve"> While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courts assert jurisdiction over global FRAND disputes, they typically refrain from directly imposing mandatory worldwide licensing terms. Instead, they establish guiding principles or frameworks (such as the “top-down” approach to apportion royalties across SEPs) to guide </w:t>
      </w:r>
      <w:r w:rsidR="004C7474" w:rsidRPr="00F72ED4">
        <w:rPr>
          <w:rFonts w:ascii="Calibri" w:eastAsiaTheme="minorHAnsi" w:hAnsi="Calibri"/>
          <w:sz w:val="24"/>
          <w:szCs w:val="24"/>
        </w:rPr>
        <w:t>the P</w:t>
      </w:r>
      <w:r w:rsidRPr="00F72ED4">
        <w:rPr>
          <w:rFonts w:ascii="Calibri" w:eastAsiaTheme="minorHAnsi" w:hAnsi="Calibri"/>
          <w:sz w:val="24"/>
          <w:szCs w:val="24"/>
        </w:rPr>
        <w:t>arties toward</w:t>
      </w:r>
      <w:r w:rsidR="001659BA" w:rsidRPr="00F72ED4">
        <w:rPr>
          <w:rFonts w:ascii="Calibri" w:eastAsiaTheme="minorHAnsi" w:hAnsi="Calibri"/>
          <w:sz w:val="24"/>
          <w:szCs w:val="24"/>
        </w:rPr>
        <w:t>s</w:t>
      </w:r>
      <w:r w:rsidRPr="00F72ED4">
        <w:rPr>
          <w:rFonts w:ascii="Calibri" w:eastAsiaTheme="minorHAnsi" w:hAnsi="Calibri"/>
          <w:sz w:val="24"/>
          <w:szCs w:val="24"/>
        </w:rPr>
        <w:t xml:space="preserve"> negotiated solutions.</w:t>
      </w:r>
    </w:p>
    <w:p w14:paraId="538AA64B" w14:textId="41D20D6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courts may issue anti-suit injunctions (ASIs) to prevent SEP holders from enforcing </w:t>
      </w:r>
      <w:r w:rsidR="005618DD" w:rsidRPr="00F72ED4">
        <w:rPr>
          <w:rFonts w:ascii="Calibri" w:eastAsiaTheme="minorHAnsi" w:hAnsi="Calibri"/>
          <w:sz w:val="24"/>
          <w:szCs w:val="24"/>
        </w:rPr>
        <w:t xml:space="preserve">the </w:t>
      </w:r>
      <w:r w:rsidRPr="00F72ED4">
        <w:rPr>
          <w:rFonts w:ascii="Calibri" w:eastAsiaTheme="minorHAnsi" w:hAnsi="Calibri"/>
          <w:sz w:val="24"/>
          <w:szCs w:val="24"/>
        </w:rPr>
        <w:t xml:space="preserve">foreign legal proceedings while FRAND obligations are being adjudicated domestically. ASIs are orders issued by a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 to prevent a party from initiating or continuing litigation in a foreign jurisdiction. In SEP/FRAND disputes, ASIs are often used to prevent patent holders from seeking aggressive remedies (e.g., injunctions) in foreign courts that could undermine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proceedings or force unfavorable settlements. Anti-Enforcement Injunctions (AEIs) are a subset of ASIs</w:t>
      </w:r>
      <w:r w:rsidR="0010763F" w:rsidRPr="00F72ED4">
        <w:rPr>
          <w:rFonts w:ascii="Calibri" w:eastAsiaTheme="minorHAnsi" w:hAnsi="Calibri"/>
          <w:sz w:val="24"/>
          <w:szCs w:val="24"/>
        </w:rPr>
        <w:t xml:space="preserve">, which </w:t>
      </w:r>
      <w:r w:rsidRPr="00F72ED4">
        <w:rPr>
          <w:rFonts w:ascii="Calibri" w:eastAsiaTheme="minorHAnsi" w:hAnsi="Calibri"/>
          <w:sz w:val="24"/>
          <w:szCs w:val="24"/>
        </w:rPr>
        <w:t xml:space="preserve">specifically block the enforcement of judgments or orders by foreign courts. For example, a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 may prevent a party from enforcing a foreign injunction that would prohibit product sales in a particular or global market.</w:t>
      </w:r>
    </w:p>
    <w:p w14:paraId="4EA52A4C" w14:textId="01E66D6B"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Helvetian courts are</w:t>
      </w:r>
      <w:r w:rsidR="003D3E57" w:rsidRPr="00F72ED4">
        <w:rPr>
          <w:rFonts w:ascii="Calibri" w:eastAsiaTheme="minorHAnsi" w:hAnsi="Calibri"/>
          <w:sz w:val="24"/>
          <w:szCs w:val="24"/>
        </w:rPr>
        <w:t xml:space="preserve"> well-known</w:t>
      </w:r>
      <w:r w:rsidRPr="00F72ED4">
        <w:rPr>
          <w:rFonts w:ascii="Calibri" w:eastAsiaTheme="minorHAnsi" w:hAnsi="Calibri"/>
          <w:sz w:val="24"/>
          <w:szCs w:val="24"/>
        </w:rPr>
        <w:t xml:space="preserve"> for</w:t>
      </w:r>
      <w:r w:rsidR="003D3E57" w:rsidRPr="00F72ED4">
        <w:rPr>
          <w:rFonts w:ascii="Calibri" w:eastAsiaTheme="minorHAnsi" w:hAnsi="Calibri"/>
          <w:sz w:val="24"/>
          <w:szCs w:val="24"/>
        </w:rPr>
        <w:t xml:space="preserve"> providing</w:t>
      </w:r>
      <w:r w:rsidRPr="00F72ED4">
        <w:rPr>
          <w:rFonts w:ascii="Calibri" w:eastAsiaTheme="minorHAnsi" w:hAnsi="Calibri"/>
          <w:sz w:val="24"/>
          <w:szCs w:val="24"/>
        </w:rPr>
        <w:t xml:space="preserve"> patent owners </w:t>
      </w:r>
      <w:r w:rsidR="003D3E57" w:rsidRPr="00F72ED4">
        <w:rPr>
          <w:rFonts w:ascii="Calibri" w:eastAsiaTheme="minorHAnsi" w:hAnsi="Calibri"/>
          <w:sz w:val="24"/>
          <w:szCs w:val="24"/>
        </w:rPr>
        <w:t xml:space="preserve">with </w:t>
      </w:r>
      <w:r w:rsidRPr="00F72ED4">
        <w:rPr>
          <w:rFonts w:ascii="Calibri" w:eastAsiaTheme="minorHAnsi" w:hAnsi="Calibri"/>
          <w:sz w:val="24"/>
          <w:szCs w:val="24"/>
        </w:rPr>
        <w:t>powerful and rapid protection against infringement. A lawsuit is usually decided within six to eight months, and if the court finds that the patent has been violated</w:t>
      </w:r>
      <w:r w:rsidR="007C426F" w:rsidRPr="00F72ED4">
        <w:rPr>
          <w:rFonts w:ascii="Calibri" w:eastAsiaTheme="minorHAnsi" w:hAnsi="Calibri"/>
          <w:sz w:val="24"/>
          <w:szCs w:val="24"/>
        </w:rPr>
        <w:t>,</w:t>
      </w:r>
      <w:r w:rsidRPr="00F72ED4">
        <w:rPr>
          <w:rFonts w:ascii="Calibri" w:eastAsiaTheme="minorHAnsi" w:hAnsi="Calibri"/>
          <w:sz w:val="24"/>
          <w:szCs w:val="24"/>
        </w:rPr>
        <w:t xml:space="preserve"> it will almost automatically issue a permanent injunction, forcing the infringer to stop production and sales immediately. The Helvetian injunction is not self-enforcing</w:t>
      </w:r>
      <w:r w:rsidR="002469AF" w:rsidRPr="00F72ED4">
        <w:rPr>
          <w:rFonts w:ascii="Calibri" w:eastAsiaTheme="minorHAnsi" w:hAnsi="Calibri"/>
          <w:sz w:val="24"/>
          <w:szCs w:val="24"/>
        </w:rPr>
        <w:t>, that is</w:t>
      </w:r>
      <w:r w:rsidRPr="00F72ED4">
        <w:rPr>
          <w:rFonts w:ascii="Calibri" w:eastAsiaTheme="minorHAnsi" w:hAnsi="Calibri"/>
          <w:sz w:val="24"/>
          <w:szCs w:val="24"/>
        </w:rPr>
        <w:t xml:space="preserve"> </w:t>
      </w:r>
      <w:r w:rsidR="002469AF" w:rsidRPr="00F72ED4">
        <w:rPr>
          <w:rFonts w:ascii="Calibri" w:eastAsiaTheme="minorHAnsi" w:hAnsi="Calibri"/>
          <w:sz w:val="24"/>
          <w:szCs w:val="24"/>
        </w:rPr>
        <w:t>i</w:t>
      </w:r>
      <w:r w:rsidRPr="00F72ED4">
        <w:rPr>
          <w:rFonts w:ascii="Calibri" w:eastAsiaTheme="minorHAnsi" w:hAnsi="Calibri"/>
          <w:sz w:val="24"/>
          <w:szCs w:val="24"/>
        </w:rPr>
        <w:t xml:space="preserve">f parallel disputes over patent validity or SEP/FRAND issues are pending, in order to prevent irreparable harm to the parties, the alleged infringer may file a motion </w:t>
      </w:r>
      <w:r w:rsidR="002469AF" w:rsidRPr="00F72ED4">
        <w:rPr>
          <w:rFonts w:ascii="Calibri" w:eastAsiaTheme="minorHAnsi" w:hAnsi="Calibri"/>
          <w:sz w:val="24"/>
          <w:szCs w:val="24"/>
        </w:rPr>
        <w:t>to the</w:t>
      </w:r>
      <w:r w:rsidRPr="00F72ED4">
        <w:rPr>
          <w:rFonts w:ascii="Calibri" w:eastAsiaTheme="minorHAnsi" w:hAnsi="Calibri"/>
          <w:sz w:val="24"/>
          <w:szCs w:val="24"/>
        </w:rPr>
        <w:t xml:space="preserve"> </w:t>
      </w:r>
      <w:r w:rsidR="00A75958">
        <w:rPr>
          <w:rFonts w:ascii="Calibri" w:eastAsiaTheme="minorHAnsi" w:hAnsi="Calibri" w:hint="eastAsia"/>
          <w:sz w:val="24"/>
          <w:szCs w:val="24"/>
        </w:rPr>
        <w:t>c</w:t>
      </w:r>
      <w:r w:rsidRPr="00F72ED4">
        <w:rPr>
          <w:rFonts w:ascii="Calibri" w:eastAsiaTheme="minorHAnsi" w:hAnsi="Calibri"/>
          <w:sz w:val="24"/>
          <w:szCs w:val="24"/>
        </w:rPr>
        <w:t xml:space="preserve">ourt to stay the injunction until completion of </w:t>
      </w:r>
      <w:r w:rsidR="00BB05A9" w:rsidRPr="00F72ED4">
        <w:rPr>
          <w:rFonts w:ascii="Calibri" w:eastAsiaTheme="minorHAnsi" w:hAnsi="Calibri"/>
          <w:sz w:val="24"/>
          <w:szCs w:val="24"/>
        </w:rPr>
        <w:t xml:space="preserve">the </w:t>
      </w:r>
      <w:r w:rsidRPr="00F72ED4">
        <w:rPr>
          <w:rFonts w:ascii="Calibri" w:eastAsiaTheme="minorHAnsi" w:hAnsi="Calibri"/>
          <w:sz w:val="24"/>
          <w:szCs w:val="24"/>
        </w:rPr>
        <w:t>parallel proceedings.</w:t>
      </w:r>
    </w:p>
    <w:p w14:paraId="6366BC26" w14:textId="77777777" w:rsidR="00097DBB" w:rsidRPr="00F72ED4" w:rsidRDefault="00294422" w:rsidP="00A12ABB">
      <w:pPr>
        <w:adjustRightInd w:val="0"/>
        <w:snapToGrid w:val="0"/>
        <w:spacing w:beforeLines="50" w:before="156" w:afterLines="50" w:after="156"/>
        <w:rPr>
          <w:rFonts w:ascii="Calibri" w:eastAsiaTheme="minorHAnsi" w:hAnsi="Calibri"/>
          <w:sz w:val="24"/>
          <w:szCs w:val="24"/>
        </w:rPr>
      </w:pPr>
      <w:r w:rsidRPr="00F72ED4">
        <w:rPr>
          <w:rFonts w:ascii="Calibri" w:eastAsiaTheme="minorHAnsi" w:hAnsi="Calibri"/>
          <w:b/>
          <w:bCs/>
          <w:sz w:val="24"/>
          <w:szCs w:val="24"/>
        </w:rPr>
        <w:t>SEP/FRAND disputes in Helvetia</w:t>
      </w:r>
    </w:p>
    <w:p w14:paraId="4439A89C" w14:textId="7CDF16E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Helvetian courts treat SEP/FRAND disputes primarily through competition law, </w:t>
      </w:r>
      <w:r w:rsidRPr="00F72ED4">
        <w:rPr>
          <w:rFonts w:ascii="Calibri" w:eastAsiaTheme="minorHAnsi" w:hAnsi="Calibri"/>
          <w:sz w:val="24"/>
          <w:szCs w:val="24"/>
        </w:rPr>
        <w:lastRenderedPageBreak/>
        <w:t>focusing on preventing the abuse of a potentially dominant position. A key legal premise is that owning an SEP can confer a dominant position. However, this is not automatic</w:t>
      </w:r>
      <w:r w:rsidR="007D440A" w:rsidRPr="00F72ED4">
        <w:rPr>
          <w:rFonts w:ascii="Calibri" w:eastAsiaTheme="minorHAnsi" w:hAnsi="Calibri"/>
          <w:sz w:val="24"/>
          <w:szCs w:val="24"/>
        </w:rPr>
        <w:t>.</w:t>
      </w:r>
      <w:r w:rsidRPr="00F72ED4">
        <w:rPr>
          <w:rFonts w:ascii="Calibri" w:eastAsiaTheme="minorHAnsi" w:hAnsi="Calibri"/>
          <w:sz w:val="24"/>
          <w:szCs w:val="24"/>
        </w:rPr>
        <w:t xml:space="preserve"> </w:t>
      </w:r>
      <w:r w:rsidR="007D440A" w:rsidRPr="00F72ED4">
        <w:rPr>
          <w:rFonts w:ascii="Calibri" w:eastAsiaTheme="minorHAnsi" w:hAnsi="Calibri"/>
          <w:sz w:val="24"/>
          <w:szCs w:val="24"/>
        </w:rPr>
        <w:t>C</w:t>
      </w:r>
      <w:r w:rsidRPr="00F72ED4">
        <w:rPr>
          <w:rFonts w:ascii="Calibri" w:eastAsiaTheme="minorHAnsi" w:hAnsi="Calibri"/>
          <w:sz w:val="24"/>
          <w:szCs w:val="24"/>
        </w:rPr>
        <w:t xml:space="preserve">ourts assess it on a case-by-case basis, considering factors like whether the standard creates market entry barriers and </w:t>
      </w:r>
      <w:r w:rsidR="007D440A" w:rsidRPr="00F72ED4">
        <w:rPr>
          <w:rFonts w:ascii="Calibri" w:eastAsiaTheme="minorHAnsi" w:hAnsi="Calibri"/>
          <w:sz w:val="24"/>
          <w:szCs w:val="24"/>
        </w:rPr>
        <w:t>whether</w:t>
      </w:r>
      <w:r w:rsidRPr="00F72ED4">
        <w:rPr>
          <w:rFonts w:ascii="Calibri" w:eastAsiaTheme="minorHAnsi" w:hAnsi="Calibri"/>
          <w:sz w:val="24"/>
          <w:szCs w:val="24"/>
        </w:rPr>
        <w:t xml:space="preserve"> there are viable technical alternatives. The FRAND commitment made to SSOs is viewed as a mechanism to prevent the abuse of th</w:t>
      </w:r>
      <w:r w:rsidR="00367D81" w:rsidRPr="00F72ED4">
        <w:rPr>
          <w:rFonts w:ascii="Calibri" w:eastAsiaTheme="minorHAnsi" w:hAnsi="Calibri"/>
          <w:sz w:val="24"/>
          <w:szCs w:val="24"/>
        </w:rPr>
        <w:t>e</w:t>
      </w:r>
      <w:r w:rsidRPr="00F72ED4">
        <w:rPr>
          <w:rFonts w:ascii="Calibri" w:eastAsiaTheme="minorHAnsi" w:hAnsi="Calibri"/>
          <w:sz w:val="24"/>
          <w:szCs w:val="24"/>
        </w:rPr>
        <w:t xml:space="preserve"> potential dominance. Helvetian courts oppose the approach of finding a single FRAND rate. They view FRAND as a range of terms. An initial offer from an SEP holder can even </w:t>
      </w:r>
      <w:r w:rsidR="00354F9C" w:rsidRPr="00F72ED4">
        <w:rPr>
          <w:rFonts w:ascii="Calibri" w:eastAsiaTheme="minorHAnsi" w:hAnsi="Calibri"/>
          <w:sz w:val="24"/>
          <w:szCs w:val="24"/>
        </w:rPr>
        <w:t>exceed</w:t>
      </w:r>
      <w:r w:rsidRPr="00F72ED4">
        <w:rPr>
          <w:rFonts w:ascii="Calibri" w:eastAsiaTheme="minorHAnsi" w:hAnsi="Calibri"/>
          <w:sz w:val="24"/>
          <w:szCs w:val="24"/>
        </w:rPr>
        <w:t xml:space="preserve"> this range, as long as they are willing to negotiate down to a FRAND rate within it.</w:t>
      </w:r>
    </w:p>
    <w:p w14:paraId="1C8336E4" w14:textId="42583CA2"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An injunction made by foreign courts that instructs a party not to continue a legal action in Helvetia (such as an ASI or AEI) is viewed as an indirect deprivation of the that party’s constitutional right of </w:t>
      </w:r>
      <w:r w:rsidR="00902DDD" w:rsidRPr="00F72ED4">
        <w:rPr>
          <w:rFonts w:ascii="Calibri" w:eastAsiaTheme="minorHAnsi" w:hAnsi="Calibri"/>
          <w:sz w:val="24"/>
          <w:szCs w:val="24"/>
        </w:rPr>
        <w:t xml:space="preserve">the </w:t>
      </w:r>
      <w:r w:rsidRPr="00F72ED4">
        <w:rPr>
          <w:rFonts w:ascii="Calibri" w:eastAsiaTheme="minorHAnsi" w:hAnsi="Calibri"/>
          <w:sz w:val="24"/>
          <w:szCs w:val="24"/>
        </w:rPr>
        <w:t>access to justice</w:t>
      </w:r>
      <w:r w:rsidR="009261FA" w:rsidRPr="00F72ED4">
        <w:rPr>
          <w:rFonts w:ascii="Calibri" w:eastAsiaTheme="minorHAnsi" w:hAnsi="Calibri"/>
          <w:sz w:val="24"/>
          <w:szCs w:val="24"/>
        </w:rPr>
        <w:t xml:space="preserve">, since </w:t>
      </w:r>
      <w:r w:rsidRPr="00F72ED4">
        <w:rPr>
          <w:rFonts w:ascii="Calibri" w:eastAsiaTheme="minorHAnsi" w:hAnsi="Calibri"/>
          <w:sz w:val="24"/>
          <w:szCs w:val="24"/>
        </w:rPr>
        <w:t>no bilateral or multilateral treaty obliges Helvetia to recognize foreign ASIs or AEIs</w:t>
      </w:r>
      <w:r w:rsidR="00167C1F" w:rsidRPr="00F72ED4">
        <w:rPr>
          <w:rFonts w:ascii="Calibri" w:eastAsiaTheme="minorHAnsi" w:hAnsi="Calibri"/>
          <w:sz w:val="24"/>
          <w:szCs w:val="24"/>
        </w:rPr>
        <w:t>. Therefore, such injunction is deemed</w:t>
      </w:r>
      <w:r w:rsidRPr="00F72ED4">
        <w:rPr>
          <w:rFonts w:ascii="Calibri" w:eastAsiaTheme="minorHAnsi" w:hAnsi="Calibri"/>
          <w:sz w:val="24"/>
          <w:szCs w:val="24"/>
        </w:rPr>
        <w:t xml:space="preserve"> unenforceable and unlawful in the Helvetian legal order.</w:t>
      </w:r>
    </w:p>
    <w:p w14:paraId="0D3DD712" w14:textId="77777777" w:rsidR="00097DBB" w:rsidRPr="00F72ED4" w:rsidRDefault="00294422" w:rsidP="00A12ABB">
      <w:pPr>
        <w:adjustRightInd w:val="0"/>
        <w:snapToGrid w:val="0"/>
        <w:spacing w:beforeLines="50" w:before="156" w:afterLines="50" w:after="156"/>
        <w:rPr>
          <w:rFonts w:ascii="Calibri" w:eastAsiaTheme="minorHAnsi" w:hAnsi="Calibri"/>
          <w:sz w:val="24"/>
          <w:szCs w:val="24"/>
        </w:rPr>
      </w:pPr>
      <w:r w:rsidRPr="00F72ED4">
        <w:rPr>
          <w:rFonts w:ascii="Calibri" w:eastAsiaTheme="minorHAnsi" w:hAnsi="Calibri"/>
          <w:b/>
          <w:bCs/>
          <w:sz w:val="24"/>
          <w:szCs w:val="24"/>
        </w:rPr>
        <w:t xml:space="preserve">Disputes between </w:t>
      </w:r>
      <w:bookmarkStart w:id="6" w:name="_Hlk209610496"/>
      <w:r w:rsidRPr="00F72ED4">
        <w:rPr>
          <w:rFonts w:ascii="Calibri" w:eastAsiaTheme="minorHAnsi" w:hAnsi="Calibri"/>
          <w:b/>
          <w:bCs/>
          <w:sz w:val="24"/>
          <w:szCs w:val="24"/>
        </w:rPr>
        <w:t xml:space="preserve">Nebula Tech and </w:t>
      </w:r>
      <w:proofErr w:type="spellStart"/>
      <w:r w:rsidRPr="00F72ED4">
        <w:rPr>
          <w:rFonts w:ascii="Calibri" w:eastAsiaTheme="minorHAnsi" w:hAnsi="Calibri"/>
          <w:b/>
          <w:bCs/>
          <w:sz w:val="24"/>
          <w:szCs w:val="24"/>
        </w:rPr>
        <w:t>Connectronic</w:t>
      </w:r>
      <w:bookmarkEnd w:id="6"/>
      <w:proofErr w:type="spellEnd"/>
    </w:p>
    <w:p w14:paraId="14825600" w14:textId="67A1C4EF"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Nebula Tech is a Helvetia-based manufacturer of popular smart home hubs and networking equipment. It owns a 60-patent family, known as </w:t>
      </w:r>
      <w:bookmarkStart w:id="7" w:name="OLE_LINK23"/>
      <w:proofErr w:type="spellStart"/>
      <w:r w:rsidRPr="00F72ED4">
        <w:rPr>
          <w:rFonts w:ascii="Calibri" w:eastAsiaTheme="minorHAnsi" w:hAnsi="Calibri"/>
          <w:sz w:val="24"/>
          <w:szCs w:val="24"/>
        </w:rPr>
        <w:t>LinkMesh</w:t>
      </w:r>
      <w:bookmarkEnd w:id="7"/>
      <w:proofErr w:type="spellEnd"/>
      <w:r w:rsidRPr="00F72ED4">
        <w:rPr>
          <w:rFonts w:ascii="Calibri" w:eastAsiaTheme="minorHAnsi" w:hAnsi="Calibri"/>
          <w:sz w:val="24"/>
          <w:szCs w:val="24"/>
        </w:rPr>
        <w:t xml:space="preserve">, </w:t>
      </w:r>
      <w:r w:rsidR="00C5329C" w:rsidRPr="00F72ED4">
        <w:rPr>
          <w:rFonts w:ascii="Calibri" w:eastAsiaTheme="minorHAnsi" w:hAnsi="Calibri"/>
          <w:sz w:val="24"/>
          <w:szCs w:val="24"/>
        </w:rPr>
        <w:t>which</w:t>
      </w:r>
      <w:r w:rsidRPr="00F72ED4">
        <w:rPr>
          <w:rFonts w:ascii="Calibri" w:eastAsiaTheme="minorHAnsi" w:hAnsi="Calibri"/>
          <w:sz w:val="24"/>
          <w:szCs w:val="24"/>
        </w:rPr>
        <w:t xml:space="preserve"> has been declared essential to the ETSI 5G multimedia-codec standard. To have its patented technology included in the essential standard, Nebula Tech submitted a binding Letter of Assurance to the ETSI, committ</w:t>
      </w:r>
      <w:r w:rsidR="00F66AE5" w:rsidRPr="00F72ED4">
        <w:rPr>
          <w:rFonts w:ascii="Calibri" w:eastAsiaTheme="minorHAnsi" w:hAnsi="Calibri"/>
          <w:sz w:val="24"/>
          <w:szCs w:val="24"/>
        </w:rPr>
        <w:t xml:space="preserve">ed </w:t>
      </w:r>
      <w:r w:rsidRPr="00F72ED4">
        <w:rPr>
          <w:rFonts w:ascii="Calibri" w:eastAsiaTheme="minorHAnsi" w:hAnsi="Calibri"/>
          <w:sz w:val="24"/>
          <w:szCs w:val="24"/>
        </w:rPr>
        <w:t xml:space="preserve">to license its declared SEPs to all implementers on FRAND terms. The </w:t>
      </w:r>
      <w:proofErr w:type="spellStart"/>
      <w:r w:rsidRPr="00F72ED4">
        <w:rPr>
          <w:rFonts w:ascii="Calibri" w:eastAsiaTheme="minorHAnsi" w:hAnsi="Calibri"/>
          <w:sz w:val="24"/>
          <w:szCs w:val="24"/>
        </w:rPr>
        <w:t>LinkMesh</w:t>
      </w:r>
      <w:proofErr w:type="spellEnd"/>
      <w:r w:rsidRPr="00F72ED4">
        <w:rPr>
          <w:rFonts w:ascii="Calibri" w:eastAsiaTheme="minorHAnsi" w:hAnsi="Calibri"/>
          <w:sz w:val="24"/>
          <w:szCs w:val="24"/>
        </w:rPr>
        <w:t xml:space="preserve"> has been granted patents in multiple countries, including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Helvetia, the United States, China, and Japan.</w:t>
      </w:r>
    </w:p>
    <w:p w14:paraId="170DE8E9" w14:textId="29EAF313"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is a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-based supplier of </w:t>
      </w:r>
      <w:bookmarkStart w:id="8" w:name="OLE_LINK4"/>
      <w:r w:rsidRPr="00F72ED4">
        <w:rPr>
          <w:rFonts w:ascii="Calibri" w:eastAsiaTheme="minorHAnsi" w:hAnsi="Calibri"/>
          <w:sz w:val="24"/>
          <w:szCs w:val="24"/>
        </w:rPr>
        <w:t>automotive infotainment modules</w:t>
      </w:r>
      <w:bookmarkEnd w:id="8"/>
      <w:r w:rsidRPr="00F72ED4">
        <w:rPr>
          <w:rFonts w:ascii="Calibri" w:eastAsiaTheme="minorHAnsi" w:hAnsi="Calibri"/>
          <w:sz w:val="24"/>
          <w:szCs w:val="24"/>
        </w:rPr>
        <w:t xml:space="preserve"> that incorporate the codec </w:t>
      </w:r>
      <w:r w:rsidR="00283A28" w:rsidRPr="00F72ED4">
        <w:rPr>
          <w:rFonts w:ascii="Calibri" w:eastAsiaTheme="minorHAnsi" w:hAnsi="Calibri"/>
          <w:sz w:val="24"/>
          <w:szCs w:val="24"/>
        </w:rPr>
        <w:t xml:space="preserve">into the </w:t>
      </w:r>
      <w:r w:rsidRPr="00F72ED4">
        <w:rPr>
          <w:rFonts w:ascii="Calibri" w:eastAsiaTheme="minorHAnsi" w:hAnsi="Calibri"/>
          <w:sz w:val="24"/>
          <w:szCs w:val="24"/>
        </w:rPr>
        <w:t xml:space="preserve">control-units shipped to automobile companies. </w:t>
      </w:r>
      <w:proofErr w:type="spellStart"/>
      <w:r w:rsidRPr="00F72ED4">
        <w:rPr>
          <w:rFonts w:ascii="Calibri" w:eastAsiaTheme="minorHAnsi" w:hAnsi="Calibri"/>
          <w:sz w:val="24"/>
          <w:szCs w:val="24"/>
        </w:rPr>
        <w:t>Connectronic’s</w:t>
      </w:r>
      <w:proofErr w:type="spellEnd"/>
      <w:r w:rsidRPr="00F72ED4">
        <w:rPr>
          <w:rFonts w:ascii="Calibri" w:eastAsiaTheme="minorHAnsi" w:hAnsi="Calibri"/>
          <w:sz w:val="24"/>
          <w:szCs w:val="24"/>
        </w:rPr>
        <w:t xml:space="preserve"> new flagship product, the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implements the </w:t>
      </w:r>
      <w:bookmarkStart w:id="9" w:name="OLE_LINK7"/>
      <w:r w:rsidRPr="00F72ED4">
        <w:rPr>
          <w:rFonts w:ascii="Calibri" w:eastAsiaTheme="minorHAnsi" w:hAnsi="Calibri"/>
          <w:sz w:val="24"/>
          <w:szCs w:val="24"/>
        </w:rPr>
        <w:t xml:space="preserve">ETSI </w:t>
      </w:r>
      <w:bookmarkEnd w:id="9"/>
      <w:r w:rsidRPr="00F72ED4">
        <w:rPr>
          <w:rFonts w:ascii="Calibri" w:eastAsiaTheme="minorHAnsi" w:hAnsi="Calibri"/>
          <w:sz w:val="24"/>
          <w:szCs w:val="24"/>
        </w:rPr>
        <w:t>5G multimedia codec standard. Prior to</w:t>
      </w:r>
      <w:r w:rsidR="0049783E" w:rsidRPr="00F72ED4">
        <w:rPr>
          <w:rFonts w:ascii="Calibri" w:eastAsiaTheme="minorHAnsi" w:hAnsi="Calibri"/>
          <w:sz w:val="24"/>
          <w:szCs w:val="24"/>
        </w:rPr>
        <w:t xml:space="preserve"> the</w:t>
      </w:r>
      <w:r w:rsidRPr="00F72ED4">
        <w:rPr>
          <w:rFonts w:ascii="Calibri" w:eastAsiaTheme="minorHAnsi" w:hAnsi="Calibri"/>
          <w:sz w:val="24"/>
          <w:szCs w:val="24"/>
        </w:rPr>
        <w:t xml:space="preserve"> launch</w:t>
      </w:r>
      <w:r w:rsidR="0049783E" w:rsidRPr="00F72ED4">
        <w:rPr>
          <w:rFonts w:ascii="Calibri" w:eastAsiaTheme="minorHAnsi" w:hAnsi="Calibri"/>
          <w:sz w:val="24"/>
          <w:szCs w:val="24"/>
        </w:rPr>
        <w:t xml:space="preserve"> </w:t>
      </w:r>
      <w:r w:rsidR="00DE66F5" w:rsidRPr="00F72ED4">
        <w:rPr>
          <w:rFonts w:ascii="Calibri" w:eastAsiaTheme="minorHAnsi" w:hAnsi="Calibri"/>
          <w:sz w:val="24"/>
          <w:szCs w:val="24"/>
        </w:rPr>
        <w:t>of the “</w:t>
      </w:r>
      <w:proofErr w:type="spellStart"/>
      <w:r w:rsidR="00DE66F5" w:rsidRPr="00F72ED4">
        <w:rPr>
          <w:rFonts w:ascii="Calibri" w:eastAsiaTheme="minorHAnsi" w:hAnsi="Calibri"/>
          <w:sz w:val="24"/>
          <w:szCs w:val="24"/>
        </w:rPr>
        <w:t>NexVibe</w:t>
      </w:r>
      <w:proofErr w:type="spellEnd"/>
      <w:r w:rsidR="00DE66F5" w:rsidRPr="00F72ED4">
        <w:rPr>
          <w:rFonts w:ascii="Calibri" w:eastAsiaTheme="minorHAnsi" w:hAnsi="Calibri"/>
          <w:sz w:val="24"/>
          <w:szCs w:val="24"/>
        </w:rPr>
        <w:t xml:space="preserve"> Pro”</w:t>
      </w:r>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proactively contacted Nebula Tech to negotiate a FRAND license for its </w:t>
      </w:r>
      <w:proofErr w:type="spellStart"/>
      <w:r w:rsidRPr="00F72ED4">
        <w:rPr>
          <w:rFonts w:ascii="Calibri" w:eastAsiaTheme="minorHAnsi" w:hAnsi="Calibri"/>
          <w:sz w:val="24"/>
          <w:szCs w:val="24"/>
        </w:rPr>
        <w:t>LinkMesh</w:t>
      </w:r>
      <w:proofErr w:type="spellEnd"/>
      <w:r w:rsidRPr="00F72ED4">
        <w:rPr>
          <w:rFonts w:ascii="Calibri" w:eastAsiaTheme="minorHAnsi" w:hAnsi="Calibri"/>
          <w:sz w:val="24"/>
          <w:szCs w:val="24"/>
        </w:rPr>
        <w:t xml:space="preserve"> SEP portfolio.</w:t>
      </w:r>
    </w:p>
    <w:p w14:paraId="6CE02CE7" w14:textId="77777777"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Nebula Tech demanded a royalty of €2 per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unit.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argued this was non-FRAND, noting that the </w:t>
      </w:r>
      <w:bookmarkStart w:id="10" w:name="OLE_LINK10"/>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w:t>
      </w:r>
      <w:bookmarkEnd w:id="10"/>
      <w:r w:rsidRPr="00F72ED4">
        <w:rPr>
          <w:rFonts w:ascii="Calibri" w:eastAsiaTheme="minorHAnsi" w:hAnsi="Calibri"/>
          <w:sz w:val="24"/>
          <w:szCs w:val="24"/>
        </w:rPr>
        <w:t xml:space="preserve"> contains hundreds of other patented technologies and that the demanded rate would be financially ruinous.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offered to pay a royalty of €0.4 per unit. It also agreed to pay retro-active royalties plus interest.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continued to sell the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depositing its proposed royalty of €0.4 per unit into an escrow account pending the outcome of negotiation or judicial determination.</w:t>
      </w:r>
    </w:p>
    <w:p w14:paraId="6C1E62E1" w14:textId="0A69E7A3"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After six months of fruitless negotiation, </w:t>
      </w:r>
      <w:bookmarkStart w:id="11" w:name="OLE_LINK9"/>
      <w:r w:rsidRPr="00F72ED4">
        <w:rPr>
          <w:rFonts w:ascii="Calibri" w:eastAsiaTheme="minorHAnsi" w:hAnsi="Calibri"/>
          <w:sz w:val="24"/>
          <w:szCs w:val="24"/>
        </w:rPr>
        <w:t>Nebula Tech threaten</w:t>
      </w:r>
      <w:r w:rsidR="00B500D9" w:rsidRPr="00F72ED4">
        <w:rPr>
          <w:rFonts w:ascii="Calibri" w:eastAsiaTheme="minorHAnsi" w:hAnsi="Calibri"/>
          <w:sz w:val="24"/>
          <w:szCs w:val="24"/>
        </w:rPr>
        <w:t>ed</w:t>
      </w:r>
      <w:r w:rsidRPr="00F72ED4">
        <w:rPr>
          <w:rFonts w:ascii="Calibri" w:eastAsiaTheme="minorHAnsi" w:hAnsi="Calibri"/>
          <w:sz w:val="24"/>
          <w:szCs w:val="24"/>
        </w:rPr>
        <w:t xml:space="preserve"> to take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to court and prohibit</w:t>
      </w:r>
      <w:r w:rsidR="00B500D9" w:rsidRPr="00F72ED4">
        <w:rPr>
          <w:rFonts w:ascii="Calibri" w:eastAsiaTheme="minorHAnsi" w:hAnsi="Calibri"/>
          <w:sz w:val="24"/>
          <w:szCs w:val="24"/>
        </w:rPr>
        <w:t>ed</w:t>
      </w:r>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from selling its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globally. </w:t>
      </w:r>
      <w:r w:rsidR="00B500D9" w:rsidRPr="00F72ED4">
        <w:rPr>
          <w:rFonts w:ascii="Calibri" w:eastAsiaTheme="minorHAnsi" w:hAnsi="Calibri"/>
          <w:sz w:val="24"/>
          <w:szCs w:val="24"/>
        </w:rPr>
        <w:t>In response to this,</w:t>
      </w:r>
      <w:r w:rsidRPr="00F72ED4">
        <w:rPr>
          <w:rFonts w:ascii="Calibri" w:eastAsiaTheme="minorHAnsi" w:hAnsi="Calibri"/>
          <w:sz w:val="24"/>
          <w:szCs w:val="24"/>
        </w:rPr>
        <w:t xml:space="preserve"> </w:t>
      </w:r>
      <w:bookmarkStart w:id="12" w:name="OLE_LINK13"/>
      <w:proofErr w:type="spellStart"/>
      <w:r w:rsidRPr="00F72ED4">
        <w:rPr>
          <w:rFonts w:ascii="Calibri" w:eastAsiaTheme="minorHAnsi" w:hAnsi="Calibri"/>
          <w:sz w:val="24"/>
          <w:szCs w:val="24"/>
        </w:rPr>
        <w:t>Connectronic</w:t>
      </w:r>
      <w:bookmarkEnd w:id="11"/>
      <w:bookmarkEnd w:id="12"/>
      <w:proofErr w:type="spellEnd"/>
      <w:r w:rsidRPr="00F72ED4">
        <w:rPr>
          <w:rFonts w:ascii="Calibri" w:eastAsiaTheme="minorHAnsi" w:hAnsi="Calibri"/>
          <w:sz w:val="24"/>
          <w:szCs w:val="24"/>
        </w:rPr>
        <w:t xml:space="preserve"> filed </w:t>
      </w:r>
      <w:r w:rsidR="00CC062E" w:rsidRPr="00F72ED4">
        <w:rPr>
          <w:rFonts w:ascii="Calibri" w:eastAsiaTheme="minorHAnsi" w:hAnsi="Calibri"/>
          <w:sz w:val="24"/>
          <w:szCs w:val="24"/>
        </w:rPr>
        <w:t xml:space="preserve">a </w:t>
      </w:r>
      <w:r w:rsidRPr="00F72ED4">
        <w:rPr>
          <w:rFonts w:ascii="Calibri" w:eastAsiaTheme="minorHAnsi" w:hAnsi="Calibri"/>
          <w:sz w:val="24"/>
          <w:szCs w:val="24"/>
        </w:rPr>
        <w:t xml:space="preserve">suit </w:t>
      </w:r>
      <w:bookmarkStart w:id="13" w:name="_Hlk209424554"/>
      <w:r w:rsidRPr="00F72ED4">
        <w:rPr>
          <w:rFonts w:ascii="Calibri" w:eastAsiaTheme="minorHAnsi" w:hAnsi="Calibri"/>
          <w:sz w:val="24"/>
          <w:szCs w:val="24"/>
        </w:rPr>
        <w:t xml:space="preserve">in the </w:t>
      </w:r>
      <w:bookmarkStart w:id="14" w:name="OLE_LINK15"/>
      <w:bookmarkStart w:id="15" w:name="OLE_LINK14"/>
      <w:r w:rsidRPr="00F72ED4">
        <w:rPr>
          <w:rFonts w:ascii="Calibri" w:eastAsiaTheme="minorHAnsi" w:hAnsi="Calibri"/>
          <w:sz w:val="24"/>
          <w:szCs w:val="24"/>
        </w:rPr>
        <w:t xml:space="preserve">District Court of </w:t>
      </w:r>
      <w:proofErr w:type="spellStart"/>
      <w:r w:rsidRPr="00F72ED4">
        <w:rPr>
          <w:rFonts w:ascii="Calibri" w:eastAsiaTheme="minorHAnsi" w:hAnsi="Calibri"/>
          <w:sz w:val="24"/>
          <w:szCs w:val="24"/>
        </w:rPr>
        <w:t>Alphoria</w:t>
      </w:r>
      <w:bookmarkEnd w:id="14"/>
      <w:proofErr w:type="spellEnd"/>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Keltron</w:t>
      </w:r>
      <w:bookmarkEnd w:id="13"/>
      <w:bookmarkEnd w:id="15"/>
      <w:proofErr w:type="spellEnd"/>
      <w:r w:rsidRPr="00F72ED4">
        <w:rPr>
          <w:rFonts w:ascii="Calibri" w:eastAsiaTheme="minorHAnsi" w:hAnsi="Calibri"/>
          <w:sz w:val="24"/>
          <w:szCs w:val="24"/>
        </w:rPr>
        <w:t xml:space="preserve">, on 9 November 2022. It claimed that </w:t>
      </w:r>
      <w:bookmarkStart w:id="16" w:name="OLE_LINK8"/>
      <w:r w:rsidRPr="00F72ED4">
        <w:rPr>
          <w:rFonts w:ascii="Calibri" w:eastAsiaTheme="minorHAnsi" w:hAnsi="Calibri"/>
          <w:sz w:val="24"/>
          <w:szCs w:val="24"/>
        </w:rPr>
        <w:t>Nebula Tech</w:t>
      </w:r>
      <w:bookmarkEnd w:id="16"/>
      <w:r w:rsidRPr="00F72ED4">
        <w:rPr>
          <w:rFonts w:ascii="Calibri" w:eastAsiaTheme="minorHAnsi" w:hAnsi="Calibri"/>
          <w:sz w:val="24"/>
          <w:szCs w:val="24"/>
        </w:rPr>
        <w:t xml:space="preserve"> breached its FRAND contract with the ETSI by </w:t>
      </w:r>
      <w:bookmarkStart w:id="17" w:name="OLE_LINK30"/>
      <w:r w:rsidRPr="00F72ED4">
        <w:rPr>
          <w:rFonts w:ascii="Calibri" w:eastAsiaTheme="minorHAnsi" w:hAnsi="Calibri"/>
          <w:sz w:val="24"/>
          <w:szCs w:val="24"/>
        </w:rPr>
        <w:t>refusing to offer a license on FRAND terms</w:t>
      </w:r>
      <w:bookmarkEnd w:id="17"/>
      <w:r w:rsidRPr="00F72ED4">
        <w:rPr>
          <w:rFonts w:ascii="Calibri" w:eastAsiaTheme="minorHAnsi" w:hAnsi="Calibri"/>
          <w:sz w:val="24"/>
          <w:szCs w:val="24"/>
        </w:rPr>
        <w:t xml:space="preserve"> and by seeking an injunction against a willing licensee. On 28 July 2023, Nebula Tech </w:t>
      </w:r>
      <w:r w:rsidRPr="00F72ED4">
        <w:rPr>
          <w:rFonts w:ascii="Calibri" w:eastAsiaTheme="minorHAnsi" w:hAnsi="Calibri"/>
          <w:sz w:val="24"/>
          <w:szCs w:val="24"/>
        </w:rPr>
        <w:lastRenderedPageBreak/>
        <w:t xml:space="preserve">filed a lawsuit in Helvetia. In its complaint, it sought an injunction that would prohibit the import, sale, and distribution of the </w:t>
      </w:r>
      <w:proofErr w:type="spellStart"/>
      <w:r w:rsidRPr="00F72ED4">
        <w:rPr>
          <w:rFonts w:ascii="Calibri" w:eastAsiaTheme="minorHAnsi" w:hAnsi="Calibri"/>
          <w:sz w:val="24"/>
          <w:szCs w:val="24"/>
        </w:rPr>
        <w:t>NexHub</w:t>
      </w:r>
      <w:proofErr w:type="spellEnd"/>
      <w:r w:rsidRPr="00F72ED4">
        <w:rPr>
          <w:rFonts w:ascii="Calibri" w:eastAsiaTheme="minorHAnsi" w:hAnsi="Calibri"/>
          <w:sz w:val="24"/>
          <w:szCs w:val="24"/>
        </w:rPr>
        <w:t xml:space="preserve"> Pro in Helvetia. The Helvetia court issued an order on 2 May 2024, prohibiting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from the sale of its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product in the country. Shortly thereafter,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sought a temporary anti-enforcement injunction from the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court to bar Nebula Tech from “prosecuting or enforcing any patent action in Helvetia that would interfere with this Court’s ability to set a worldwide FRAND rate”. On 29 May 2024,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successfully obtained an </w:t>
      </w:r>
      <w:bookmarkStart w:id="18" w:name="OLE_LINK21"/>
      <w:r w:rsidRPr="00F72ED4">
        <w:rPr>
          <w:rFonts w:ascii="Calibri" w:eastAsiaTheme="minorHAnsi" w:hAnsi="Calibri"/>
          <w:sz w:val="24"/>
          <w:szCs w:val="24"/>
        </w:rPr>
        <w:t>anti-enforcement</w:t>
      </w:r>
      <w:bookmarkEnd w:id="18"/>
      <w:r w:rsidRPr="00F72ED4">
        <w:rPr>
          <w:rFonts w:ascii="Calibri" w:eastAsiaTheme="minorHAnsi" w:hAnsi="Calibri"/>
          <w:sz w:val="24"/>
          <w:szCs w:val="24"/>
        </w:rPr>
        <w:t xml:space="preserve"> (AEI) order.</w:t>
      </w:r>
    </w:p>
    <w:p w14:paraId="5D968897" w14:textId="78D51029"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The </w:t>
      </w:r>
      <w:r w:rsidR="00387F89" w:rsidRPr="00F72ED4">
        <w:rPr>
          <w:rFonts w:ascii="Calibri" w:eastAsiaTheme="minorHAnsi" w:hAnsi="Calibri"/>
          <w:sz w:val="24"/>
          <w:szCs w:val="24"/>
        </w:rPr>
        <w:t xml:space="preserve">timeline </w:t>
      </w:r>
      <w:r w:rsidRPr="00F72ED4">
        <w:rPr>
          <w:rFonts w:ascii="Calibri" w:eastAsiaTheme="minorHAnsi" w:hAnsi="Calibri"/>
          <w:sz w:val="24"/>
          <w:szCs w:val="24"/>
        </w:rPr>
        <w:t>of the relevant litigation is as follows:</w:t>
      </w:r>
    </w:p>
    <w:p w14:paraId="03D017B3" w14:textId="76D0A0A1"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bookmarkStart w:id="19" w:name="OLE_LINK20"/>
      <w:r w:rsidRPr="00F72ED4">
        <w:rPr>
          <w:rFonts w:ascii="Calibri" w:eastAsiaTheme="minorHAnsi" w:hAnsi="Calibri"/>
          <w:sz w:val="24"/>
          <w:szCs w:val="24"/>
        </w:rPr>
        <w:t>9 Nov 2022</w:t>
      </w:r>
      <w:bookmarkEnd w:id="19"/>
      <w:r w:rsidRPr="00F72ED4">
        <w:rPr>
          <w:rFonts w:ascii="Calibri" w:eastAsiaTheme="minorHAnsi" w:hAnsi="Calibri"/>
          <w:sz w:val="24"/>
          <w:szCs w:val="24"/>
        </w:rPr>
        <w:t xml:space="preserve"> –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files</w:t>
      </w:r>
      <w:r w:rsidR="006E7E94" w:rsidRPr="00F72ED4">
        <w:rPr>
          <w:rFonts w:ascii="Calibri" w:eastAsiaTheme="minorHAnsi" w:hAnsi="Calibri"/>
          <w:sz w:val="24"/>
          <w:szCs w:val="24"/>
        </w:rPr>
        <w:t xml:space="preserve"> a</w:t>
      </w:r>
      <w:r w:rsidRPr="00F72ED4">
        <w:rPr>
          <w:rFonts w:ascii="Calibri" w:eastAsiaTheme="minorHAnsi" w:hAnsi="Calibri"/>
          <w:sz w:val="24"/>
          <w:szCs w:val="24"/>
        </w:rPr>
        <w:t xml:space="preserve"> suit in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alleging Nebula Tech breached its FRAND commitment to the ETSI by demanding a royalty of €2 per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unit.</w:t>
      </w:r>
    </w:p>
    <w:p w14:paraId="6129E4A6" w14:textId="2E58EC6C"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28 Jul 2023 – While the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contract action is pending, Nebula Tech sues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in </w:t>
      </w:r>
      <w:bookmarkStart w:id="20" w:name="OLE_LINK18"/>
      <w:r w:rsidRPr="00F72ED4">
        <w:rPr>
          <w:rFonts w:ascii="Calibri" w:eastAsiaTheme="minorHAnsi" w:hAnsi="Calibri"/>
          <w:sz w:val="24"/>
          <w:szCs w:val="24"/>
        </w:rPr>
        <w:t>Helvetia</w:t>
      </w:r>
      <w:bookmarkEnd w:id="20"/>
      <w:r w:rsidRPr="00F72ED4">
        <w:rPr>
          <w:rFonts w:ascii="Calibri" w:eastAsiaTheme="minorHAnsi" w:hAnsi="Calibri"/>
          <w:sz w:val="24"/>
          <w:szCs w:val="24"/>
        </w:rPr>
        <w:t xml:space="preserve"> for</w:t>
      </w:r>
      <w:r w:rsidR="00BF3220" w:rsidRPr="00F72ED4">
        <w:rPr>
          <w:rFonts w:ascii="Calibri" w:eastAsiaTheme="minorHAnsi" w:hAnsi="Calibri"/>
          <w:sz w:val="24"/>
          <w:szCs w:val="24"/>
        </w:rPr>
        <w:t xml:space="preserve"> the</w:t>
      </w:r>
      <w:r w:rsidRPr="00F72ED4">
        <w:rPr>
          <w:rFonts w:ascii="Calibri" w:eastAsiaTheme="minorHAnsi" w:hAnsi="Calibri"/>
          <w:sz w:val="24"/>
          <w:szCs w:val="24"/>
        </w:rPr>
        <w:t xml:space="preserve"> infringement of SEPs.</w:t>
      </w:r>
    </w:p>
    <w:p w14:paraId="1F359E1B" w14:textId="77777777"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2 May 2024 – The Helvetia court issues an order against </w:t>
      </w:r>
      <w:proofErr w:type="spellStart"/>
      <w:r w:rsidRPr="00F72ED4">
        <w:rPr>
          <w:rFonts w:ascii="Calibri" w:eastAsiaTheme="minorHAnsi" w:hAnsi="Calibri"/>
          <w:sz w:val="24"/>
          <w:szCs w:val="24"/>
        </w:rPr>
        <w:t>Connectronic’s</w:t>
      </w:r>
      <w:proofErr w:type="spellEnd"/>
      <w:r w:rsidRPr="00F72ED4">
        <w:rPr>
          <w:rFonts w:ascii="Calibri" w:eastAsiaTheme="minorHAnsi" w:hAnsi="Calibri"/>
          <w:sz w:val="24"/>
          <w:szCs w:val="24"/>
        </w:rPr>
        <w:t xml:space="preserve"> sale of </w:t>
      </w:r>
      <w:proofErr w:type="spellStart"/>
      <w:r w:rsidRPr="00F72ED4">
        <w:rPr>
          <w:rFonts w:ascii="Calibri" w:eastAsiaTheme="minorHAnsi" w:hAnsi="Calibri"/>
          <w:sz w:val="24"/>
          <w:szCs w:val="24"/>
        </w:rPr>
        <w:t>NexVibe</w:t>
      </w:r>
      <w:proofErr w:type="spellEnd"/>
      <w:r w:rsidRPr="00F72ED4">
        <w:rPr>
          <w:rFonts w:ascii="Calibri" w:eastAsiaTheme="minorHAnsi" w:hAnsi="Calibri"/>
          <w:sz w:val="24"/>
          <w:szCs w:val="24"/>
        </w:rPr>
        <w:t xml:space="preserve"> Pro in Helvetia.</w:t>
      </w:r>
    </w:p>
    <w:p w14:paraId="66FF3791" w14:textId="77777777"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10 May 2024 –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seeks a temporary anti-enforcement injunction in District Court of </w:t>
      </w:r>
      <w:bookmarkStart w:id="21" w:name="OLE_LINK19"/>
      <w:proofErr w:type="spellStart"/>
      <w:r w:rsidRPr="00F72ED4">
        <w:rPr>
          <w:rFonts w:ascii="Calibri" w:eastAsiaTheme="minorHAnsi" w:hAnsi="Calibri"/>
          <w:sz w:val="24"/>
          <w:szCs w:val="24"/>
        </w:rPr>
        <w:t>Alphoria</w:t>
      </w:r>
      <w:bookmarkEnd w:id="21"/>
      <w:proofErr w:type="spellEnd"/>
      <w:r w:rsidRPr="00F72ED4">
        <w:rPr>
          <w:rFonts w:ascii="Calibri" w:eastAsiaTheme="minorHAnsi" w:hAnsi="Calibri"/>
          <w:sz w:val="24"/>
          <w:szCs w:val="24"/>
        </w:rPr>
        <w:t xml:space="preserve">,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to bar Nebula Tech from enforcing the order made by the Helvetia court.</w:t>
      </w:r>
    </w:p>
    <w:p w14:paraId="680393A2" w14:textId="61AAA7CF"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29 May 2024 –</w:t>
      </w:r>
      <w:r w:rsidR="00C51EE0" w:rsidRPr="00F72ED4">
        <w:rPr>
          <w:rFonts w:ascii="Calibri" w:eastAsiaTheme="minorHAnsi" w:hAnsi="Calibri"/>
          <w:sz w:val="24"/>
          <w:szCs w:val="24"/>
        </w:rPr>
        <w:t xml:space="preserve"> The</w:t>
      </w:r>
      <w:r w:rsidRPr="00F72ED4">
        <w:rPr>
          <w:rFonts w:ascii="Calibri" w:eastAsiaTheme="minorHAnsi" w:hAnsi="Calibri"/>
          <w:sz w:val="24"/>
          <w:szCs w:val="24"/>
        </w:rPr>
        <w:t xml:space="preserve"> District Court of </w:t>
      </w:r>
      <w:proofErr w:type="spellStart"/>
      <w:r w:rsidRPr="00F72ED4">
        <w:rPr>
          <w:rFonts w:ascii="Calibri" w:eastAsiaTheme="minorHAnsi" w:hAnsi="Calibri"/>
          <w:sz w:val="24"/>
          <w:szCs w:val="24"/>
        </w:rPr>
        <w:t>Alphoria</w:t>
      </w:r>
      <w:proofErr w:type="spellEnd"/>
      <w:r w:rsidR="003F1B04">
        <w:rPr>
          <w:rFonts w:ascii="Calibri" w:eastAsiaTheme="minorHAnsi" w:hAnsi="Calibri"/>
          <w:sz w:val="24"/>
          <w:szCs w:val="24"/>
        </w:rPr>
        <w:t xml:space="preserve">, </w:t>
      </w:r>
      <w:proofErr w:type="spellStart"/>
      <w:r w:rsidR="003F1B04">
        <w:rPr>
          <w:rFonts w:ascii="Calibri" w:eastAsiaTheme="minorHAnsi" w:hAnsi="Calibri"/>
          <w:sz w:val="24"/>
          <w:szCs w:val="24"/>
        </w:rPr>
        <w:t>Keltron</w:t>
      </w:r>
      <w:proofErr w:type="spellEnd"/>
      <w:r w:rsidR="003F1B04">
        <w:rPr>
          <w:rFonts w:ascii="Calibri" w:eastAsiaTheme="minorHAnsi" w:hAnsi="Calibri"/>
          <w:sz w:val="24"/>
          <w:szCs w:val="24"/>
        </w:rPr>
        <w:t>,</w:t>
      </w:r>
      <w:r w:rsidRPr="00F72ED4">
        <w:rPr>
          <w:rFonts w:ascii="Calibri" w:eastAsiaTheme="minorHAnsi" w:hAnsi="Calibri"/>
          <w:sz w:val="24"/>
          <w:szCs w:val="24"/>
        </w:rPr>
        <w:t xml:space="preserve"> grants the anti-enforcement injunction (AEI).</w:t>
      </w:r>
    </w:p>
    <w:p w14:paraId="57EA9A81" w14:textId="2A2B2620" w:rsidR="00097DBB" w:rsidRPr="00F72ED4" w:rsidRDefault="00294422" w:rsidP="00A12ABB">
      <w:pPr>
        <w:pStyle w:val="ac"/>
        <w:numPr>
          <w:ilvl w:val="0"/>
          <w:numId w:val="2"/>
        </w:numPr>
        <w:adjustRightInd w:val="0"/>
        <w:snapToGrid w:val="0"/>
        <w:spacing w:beforeLines="50" w:before="156" w:afterLines="50" w:after="156"/>
        <w:contextualSpacing w:val="0"/>
        <w:rPr>
          <w:rFonts w:ascii="Calibri" w:eastAsiaTheme="minorHAnsi" w:hAnsi="Calibri"/>
          <w:sz w:val="24"/>
          <w:szCs w:val="24"/>
        </w:rPr>
      </w:pPr>
      <w:bookmarkStart w:id="22" w:name="OLE_LINK35"/>
      <w:r w:rsidRPr="00F72ED4">
        <w:rPr>
          <w:rFonts w:ascii="Calibri" w:eastAsiaTheme="minorHAnsi" w:hAnsi="Calibri"/>
          <w:sz w:val="24"/>
          <w:szCs w:val="24"/>
        </w:rPr>
        <w:t xml:space="preserve">27 Sep 2024 – The Appeal Court of </w:t>
      </w:r>
      <w:bookmarkStart w:id="23" w:name="OLE_LINK33"/>
      <w:proofErr w:type="spellStart"/>
      <w:r w:rsidRPr="00F72ED4">
        <w:rPr>
          <w:rFonts w:ascii="Calibri" w:eastAsiaTheme="minorHAnsi" w:hAnsi="Calibri"/>
          <w:sz w:val="24"/>
          <w:szCs w:val="24"/>
        </w:rPr>
        <w:t>Keltron</w:t>
      </w:r>
      <w:bookmarkEnd w:id="23"/>
      <w:proofErr w:type="spellEnd"/>
      <w:r w:rsidRPr="00F72ED4">
        <w:rPr>
          <w:rFonts w:ascii="Calibri" w:eastAsiaTheme="minorHAnsi" w:hAnsi="Calibri"/>
          <w:sz w:val="24"/>
          <w:szCs w:val="24"/>
        </w:rPr>
        <w:t xml:space="preserve"> fully upheld the findings and reasons of the District Court of </w:t>
      </w:r>
      <w:proofErr w:type="spellStart"/>
      <w:r w:rsidRPr="00F72ED4">
        <w:rPr>
          <w:rFonts w:ascii="Calibri" w:eastAsiaTheme="minorHAnsi" w:hAnsi="Calibri"/>
          <w:sz w:val="24"/>
          <w:szCs w:val="24"/>
        </w:rPr>
        <w:t>Alphoria</w:t>
      </w:r>
      <w:bookmarkEnd w:id="22"/>
      <w:proofErr w:type="spellEnd"/>
      <w:r w:rsidRPr="00F72ED4">
        <w:rPr>
          <w:rFonts w:ascii="Calibri" w:eastAsiaTheme="minorHAnsi" w:hAnsi="Calibri"/>
          <w:sz w:val="24"/>
          <w:szCs w:val="24"/>
        </w:rPr>
        <w:t xml:space="preserve"> and affirms the anti-enforcement injunction on an interlocutory appeal.</w:t>
      </w:r>
    </w:p>
    <w:p w14:paraId="5FC1F1D8"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bookmarkStart w:id="24" w:name="OLE_LINK17"/>
      <w:r w:rsidRPr="00F72ED4">
        <w:rPr>
          <w:rFonts w:ascii="Calibri" w:eastAsiaTheme="minorHAnsi" w:hAnsi="Calibri"/>
          <w:b/>
          <w:bCs/>
          <w:sz w:val="24"/>
          <w:szCs w:val="24"/>
          <w:lang w:val="en"/>
        </w:rPr>
        <w:t xml:space="preserve">The AEI order issued by the </w:t>
      </w:r>
      <w:r w:rsidRPr="00F72ED4">
        <w:rPr>
          <w:rFonts w:ascii="Calibri" w:eastAsiaTheme="minorHAnsi" w:hAnsi="Calibri"/>
          <w:b/>
          <w:bCs/>
          <w:sz w:val="24"/>
          <w:szCs w:val="24"/>
        </w:rPr>
        <w:t xml:space="preserve">District Court of </w:t>
      </w:r>
      <w:proofErr w:type="spellStart"/>
      <w:r w:rsidRPr="00F72ED4">
        <w:rPr>
          <w:rFonts w:ascii="Calibri" w:eastAsiaTheme="minorHAnsi" w:hAnsi="Calibri"/>
          <w:b/>
          <w:bCs/>
          <w:sz w:val="24"/>
          <w:szCs w:val="24"/>
        </w:rPr>
        <w:t>Alphoria</w:t>
      </w:r>
      <w:proofErr w:type="spellEnd"/>
    </w:p>
    <w:bookmarkEnd w:id="24"/>
    <w:p w14:paraId="5FD3404D" w14:textId="5A87217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According to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to obtain an AEI, the applicant is not required to show </w:t>
      </w:r>
      <w:r w:rsidR="0053676B" w:rsidRPr="00F72ED4">
        <w:rPr>
          <w:rFonts w:ascii="Calibri" w:eastAsiaTheme="minorHAnsi" w:hAnsi="Calibri"/>
          <w:sz w:val="24"/>
          <w:szCs w:val="24"/>
        </w:rPr>
        <w:t>a</w:t>
      </w:r>
      <w:r w:rsidRPr="00F72ED4">
        <w:rPr>
          <w:rFonts w:ascii="Calibri" w:eastAsiaTheme="minorHAnsi" w:hAnsi="Calibri"/>
          <w:sz w:val="24"/>
          <w:szCs w:val="24"/>
        </w:rPr>
        <w:t xml:space="preserve"> likelihood of success on the merits of the underlying claim. </w:t>
      </w:r>
      <w:bookmarkStart w:id="25" w:name="OLE_LINK22"/>
      <w:r w:rsidRPr="00F72ED4">
        <w:rPr>
          <w:rFonts w:ascii="Calibri" w:eastAsiaTheme="minorHAnsi" w:hAnsi="Calibri"/>
          <w:sz w:val="24"/>
          <w:szCs w:val="24"/>
        </w:rPr>
        <w:t xml:space="preserve">Rather, </w:t>
      </w:r>
      <w:bookmarkEnd w:id="25"/>
      <w:r w:rsidRPr="00F72ED4">
        <w:rPr>
          <w:rFonts w:ascii="Calibri" w:eastAsiaTheme="minorHAnsi" w:hAnsi="Calibri"/>
          <w:sz w:val="24"/>
          <w:szCs w:val="24"/>
        </w:rPr>
        <w:t xml:space="preserve">it needs only </w:t>
      </w:r>
      <w:r w:rsidR="00870857" w:rsidRPr="00F72ED4">
        <w:rPr>
          <w:rFonts w:ascii="Calibri" w:eastAsiaTheme="minorHAnsi" w:hAnsi="Calibri"/>
          <w:sz w:val="24"/>
          <w:szCs w:val="24"/>
        </w:rPr>
        <w:t xml:space="preserve">to </w:t>
      </w:r>
      <w:r w:rsidRPr="00F72ED4">
        <w:rPr>
          <w:rFonts w:ascii="Calibri" w:eastAsiaTheme="minorHAnsi" w:hAnsi="Calibri"/>
          <w:sz w:val="24"/>
          <w:szCs w:val="24"/>
        </w:rPr>
        <w:t xml:space="preserve">demonstrate that the factors specific to an anti- enforcement injunction weigh in its favor. Those factors are: (1) whether or not the parties and the issues are the same, and whether or not the first action is dispositive of the action to be enjoined; (2) whether the foreign litigation would </w:t>
      </w:r>
      <w:bookmarkStart w:id="26" w:name="OLE_LINK16"/>
      <w:r w:rsidRPr="00F72ED4">
        <w:rPr>
          <w:rFonts w:ascii="Calibri" w:eastAsiaTheme="minorHAnsi" w:hAnsi="Calibri"/>
          <w:sz w:val="24"/>
          <w:szCs w:val="24"/>
        </w:rPr>
        <w:t xml:space="preserve">frustrate a policy of </w:t>
      </w:r>
      <w:bookmarkEnd w:id="26"/>
      <w:r w:rsidRPr="00F72ED4">
        <w:rPr>
          <w:rFonts w:ascii="Calibri" w:eastAsiaTheme="minorHAnsi" w:hAnsi="Calibri"/>
          <w:sz w:val="24"/>
          <w:szCs w:val="24"/>
        </w:rPr>
        <w:t>the forum issuing the injunction; and (3) whether the impact on international comity would be tolerable.</w:t>
      </w:r>
    </w:p>
    <w:p w14:paraId="75E003BA" w14:textId="77777777"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With respect to the threshold consideration,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found that: </w:t>
      </w:r>
    </w:p>
    <w:p w14:paraId="2DC5D1A7" w14:textId="5C6D25BF" w:rsidR="00097DBB" w:rsidRPr="00F72ED4" w:rsidRDefault="00294422" w:rsidP="00A12ABB">
      <w:pPr>
        <w:pStyle w:val="ac"/>
        <w:adjustRightInd w:val="0"/>
        <w:snapToGrid w:val="0"/>
        <w:spacing w:beforeLines="50" w:before="156" w:afterLines="50" w:after="156"/>
        <w:ind w:left="880" w:rightChars="200" w:right="420"/>
        <w:contextualSpacing w:val="0"/>
        <w:rPr>
          <w:rFonts w:ascii="Calibri" w:eastAsiaTheme="minorHAnsi" w:hAnsi="Calibri"/>
          <w:sz w:val="24"/>
          <w:szCs w:val="24"/>
        </w:rPr>
      </w:pPr>
      <w:r w:rsidRPr="00F72ED4">
        <w:rPr>
          <w:rFonts w:ascii="Calibri" w:eastAsiaTheme="minorHAnsi" w:hAnsi="Calibri"/>
          <w:sz w:val="24"/>
          <w:szCs w:val="24"/>
        </w:rPr>
        <w:t xml:space="preserve">“Whether the issues are the same and </w:t>
      </w:r>
      <w:r w:rsidR="00835A3D" w:rsidRPr="00F72ED4">
        <w:rPr>
          <w:rFonts w:ascii="Calibri" w:eastAsiaTheme="minorHAnsi" w:hAnsi="Calibri"/>
          <w:sz w:val="24"/>
          <w:szCs w:val="24"/>
        </w:rPr>
        <w:t xml:space="preserve">whether </w:t>
      </w:r>
      <w:r w:rsidRPr="00F72ED4">
        <w:rPr>
          <w:rFonts w:ascii="Calibri" w:eastAsiaTheme="minorHAnsi" w:hAnsi="Calibri"/>
          <w:sz w:val="24"/>
          <w:szCs w:val="24"/>
        </w:rPr>
        <w:t xml:space="preserve">the first action </w:t>
      </w:r>
      <w:r w:rsidR="00956E4E" w:rsidRPr="00F72ED4">
        <w:rPr>
          <w:rFonts w:ascii="Calibri" w:eastAsiaTheme="minorHAnsi" w:hAnsi="Calibri"/>
          <w:sz w:val="24"/>
          <w:szCs w:val="24"/>
        </w:rPr>
        <w:t xml:space="preserve">is </w:t>
      </w:r>
      <w:r w:rsidRPr="00F72ED4">
        <w:rPr>
          <w:rFonts w:ascii="Calibri" w:eastAsiaTheme="minorHAnsi" w:hAnsi="Calibri"/>
          <w:sz w:val="24"/>
          <w:szCs w:val="24"/>
        </w:rPr>
        <w:t xml:space="preserve">dispositive of the action to be enjoined are interrelated requirements; that is, to the extent that the domestic action can dispose of all issues </w:t>
      </w:r>
      <w:r w:rsidRPr="00F72ED4">
        <w:rPr>
          <w:rFonts w:ascii="Calibri" w:eastAsiaTheme="minorHAnsi" w:hAnsi="Calibri"/>
          <w:sz w:val="24"/>
          <w:szCs w:val="24"/>
        </w:rPr>
        <w:lastRenderedPageBreak/>
        <w:t>in the foreign action and those issues fall within the jurisdiction chosen by the parties, the issues are meaningfully ‘the same’. This court agrees that the pending domestic contract action could resolve the issues in the Helvetian patent action, because the Helvetian patents at issue in the Helvetian action were the same in Nebula Tech’s binding Letter of Assurance to the ETSI offering a worldwide license for the Standard-essential patents, and because Nebula Tech contracted with the ETSI to license the patents on FRAND terms to all applicants on a worldwide basis. The temporary restraining order was limited to enjoining Nebula Tech from enforcing any injunctive relief that it may receive in the Helvetian action with respect to the Helvetian patents. Importantly, the order in no way enjoined Nebula Tech from pursuing the Helvetian action and receiving monetary damages (or any other non-injunctive relief), and in no way prohibited further proceedings in Helvetia.”</w:t>
      </w:r>
    </w:p>
    <w:p w14:paraId="1DE9A8EB" w14:textId="6D4232C9"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Seco</w:t>
      </w:r>
      <w:r w:rsidR="00A75958">
        <w:rPr>
          <w:rFonts w:ascii="Calibri" w:eastAsiaTheme="minorHAnsi" w:hAnsi="Calibri"/>
          <w:sz w:val="24"/>
          <w:szCs w:val="24"/>
        </w:rPr>
        <w:t xml:space="preserve">nd, the </w:t>
      </w:r>
      <w:r w:rsidR="00DA7276" w:rsidRPr="00F72ED4">
        <w:rPr>
          <w:rFonts w:ascii="Calibri" w:eastAsiaTheme="minorHAnsi" w:hAnsi="Calibri"/>
          <w:sz w:val="24"/>
          <w:szCs w:val="24"/>
        </w:rPr>
        <w:t xml:space="preserve">District Court of </w:t>
      </w:r>
      <w:proofErr w:type="spellStart"/>
      <w:r w:rsidR="00DA7276"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determined that the Helvetian action raised concerns and explained</w:t>
      </w:r>
      <w:r w:rsidR="00047419" w:rsidRPr="00F72ED4">
        <w:rPr>
          <w:rFonts w:ascii="Calibri" w:eastAsiaTheme="minorHAnsi" w:hAnsi="Calibri"/>
          <w:sz w:val="24"/>
          <w:szCs w:val="24"/>
        </w:rPr>
        <w:t xml:space="preserve"> that</w:t>
      </w:r>
      <w:r w:rsidRPr="00F72ED4">
        <w:rPr>
          <w:rFonts w:ascii="Calibri" w:eastAsiaTheme="minorHAnsi" w:hAnsi="Calibri"/>
          <w:sz w:val="24"/>
          <w:szCs w:val="24"/>
        </w:rPr>
        <w:t>:</w:t>
      </w:r>
    </w:p>
    <w:p w14:paraId="42B6FC72" w14:textId="77777777" w:rsidR="00097DBB" w:rsidRPr="00F72ED4" w:rsidRDefault="00294422" w:rsidP="00A12ABB">
      <w:pPr>
        <w:pStyle w:val="ac"/>
        <w:numPr>
          <w:ilvl w:val="1"/>
          <w:numId w:val="1"/>
        </w:numPr>
        <w:adjustRightInd w:val="0"/>
        <w:snapToGrid w:val="0"/>
        <w:spacing w:beforeLines="50" w:before="156" w:afterLines="50" w:after="156"/>
        <w:ind w:rightChars="200" w:right="420"/>
        <w:contextualSpacing w:val="0"/>
        <w:rPr>
          <w:rFonts w:ascii="Calibri" w:eastAsiaTheme="minorHAnsi" w:hAnsi="Calibri"/>
          <w:sz w:val="24"/>
          <w:szCs w:val="24"/>
        </w:rPr>
      </w:pPr>
      <w:r w:rsidRPr="00F72ED4">
        <w:rPr>
          <w:rFonts w:ascii="Calibri" w:eastAsiaTheme="minorHAnsi" w:hAnsi="Calibri"/>
          <w:sz w:val="24"/>
          <w:szCs w:val="24"/>
        </w:rPr>
        <w:t xml:space="preserve">“First, as the issue of injunctive relief is before both this court and the court in </w:t>
      </w:r>
      <w:bookmarkStart w:id="27" w:name="OLE_LINK24"/>
      <w:r w:rsidRPr="00F72ED4">
        <w:rPr>
          <w:rFonts w:ascii="Calibri" w:eastAsiaTheme="minorHAnsi" w:hAnsi="Calibri"/>
          <w:sz w:val="24"/>
          <w:szCs w:val="24"/>
        </w:rPr>
        <w:t>Helvetia</w:t>
      </w:r>
      <w:bookmarkEnd w:id="27"/>
      <w:r w:rsidRPr="00F72ED4">
        <w:rPr>
          <w:rFonts w:ascii="Calibri" w:eastAsiaTheme="minorHAnsi" w:hAnsi="Calibri"/>
          <w:sz w:val="24"/>
          <w:szCs w:val="24"/>
        </w:rPr>
        <w:t xml:space="preserve">, this court has concerns against inconsistent judgments. Indeed, this court may find that Nebula Tech may not seek injunctive relief against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with respect to its standard essential patents (</w:t>
      </w:r>
      <w:proofErr w:type="spellStart"/>
      <w:r w:rsidRPr="00F72ED4">
        <w:rPr>
          <w:rFonts w:ascii="Calibri" w:eastAsiaTheme="minorHAnsi" w:hAnsi="Calibri"/>
          <w:sz w:val="24"/>
          <w:szCs w:val="24"/>
        </w:rPr>
        <w:t>LinkMesh</w:t>
      </w:r>
      <w:proofErr w:type="spellEnd"/>
      <w:r w:rsidRPr="00F72ED4">
        <w:rPr>
          <w:rFonts w:ascii="Calibri" w:eastAsiaTheme="minorHAnsi" w:hAnsi="Calibri"/>
          <w:sz w:val="24"/>
          <w:szCs w:val="24"/>
        </w:rPr>
        <w:t xml:space="preserve">); whereas to the contrary, the Helvetian court may grant Nebula Tech the injunctive relief it seeks in the Helvetian action with respect to the same patents. </w:t>
      </w:r>
    </w:p>
    <w:p w14:paraId="33CB4962" w14:textId="77777777" w:rsidR="00097DBB" w:rsidRPr="00F72ED4" w:rsidRDefault="00294422" w:rsidP="00A12ABB">
      <w:pPr>
        <w:pStyle w:val="ac"/>
        <w:numPr>
          <w:ilvl w:val="1"/>
          <w:numId w:val="1"/>
        </w:numPr>
        <w:adjustRightInd w:val="0"/>
        <w:snapToGrid w:val="0"/>
        <w:spacing w:beforeLines="50" w:before="156" w:afterLines="50" w:after="156"/>
        <w:ind w:rightChars="200" w:right="420"/>
        <w:contextualSpacing w:val="0"/>
        <w:rPr>
          <w:rFonts w:ascii="Calibri" w:eastAsiaTheme="minorHAnsi" w:hAnsi="Calibri"/>
          <w:sz w:val="24"/>
          <w:szCs w:val="24"/>
        </w:rPr>
      </w:pPr>
      <w:bookmarkStart w:id="28" w:name="OLE_LINK31"/>
      <w:r w:rsidRPr="00F72ED4">
        <w:rPr>
          <w:rFonts w:ascii="Calibri" w:eastAsiaTheme="minorHAnsi" w:hAnsi="Calibri"/>
          <w:sz w:val="24"/>
          <w:szCs w:val="24"/>
        </w:rPr>
        <w:t xml:space="preserve">Second, the FRAND system, which promotes widespread adoption of standardized technology, would be undermined if SEP holders could ‘forum shop’ for foreign-court injunctions to pressure implementers into paying supra-FRAND rates.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therefore has a strong institutional interest in upholding these commitments.</w:t>
      </w:r>
    </w:p>
    <w:bookmarkEnd w:id="28"/>
    <w:p w14:paraId="46EACA6A" w14:textId="6F8059BB" w:rsidR="00097DBB" w:rsidRPr="00F72ED4" w:rsidRDefault="00294422" w:rsidP="00A12ABB">
      <w:pPr>
        <w:pStyle w:val="ac"/>
        <w:numPr>
          <w:ilvl w:val="1"/>
          <w:numId w:val="1"/>
        </w:numPr>
        <w:adjustRightInd w:val="0"/>
        <w:snapToGrid w:val="0"/>
        <w:spacing w:beforeLines="50" w:before="156" w:afterLines="50" w:after="156"/>
        <w:ind w:rightChars="200" w:right="420"/>
        <w:contextualSpacing w:val="0"/>
        <w:rPr>
          <w:rFonts w:ascii="Calibri" w:eastAsiaTheme="minorHAnsi" w:hAnsi="Calibri"/>
          <w:sz w:val="24"/>
          <w:szCs w:val="24"/>
        </w:rPr>
      </w:pPr>
      <w:r w:rsidRPr="00F72ED4">
        <w:rPr>
          <w:rFonts w:ascii="Calibri" w:eastAsiaTheme="minorHAnsi" w:hAnsi="Calibri"/>
          <w:sz w:val="24"/>
          <w:szCs w:val="24"/>
        </w:rPr>
        <w:t>Third, th</w:t>
      </w:r>
      <w:r w:rsidR="00DA7276">
        <w:rPr>
          <w:rFonts w:ascii="Calibri" w:eastAsiaTheme="minorHAnsi" w:hAnsi="Calibri" w:hint="eastAsia"/>
          <w:sz w:val="24"/>
          <w:szCs w:val="24"/>
        </w:rPr>
        <w:t>is</w:t>
      </w:r>
      <w:r w:rsidRPr="00F72ED4">
        <w:rPr>
          <w:rFonts w:ascii="Calibri" w:eastAsiaTheme="minorHAnsi" w:hAnsi="Calibri"/>
          <w:sz w:val="24"/>
          <w:szCs w:val="24"/>
        </w:rPr>
        <w:t xml:space="preserve"> </w:t>
      </w:r>
      <w:r w:rsidR="00D37B3B">
        <w:rPr>
          <w:rFonts w:ascii="Calibri" w:eastAsiaTheme="minorHAnsi" w:hAnsi="Calibri" w:hint="eastAsia"/>
          <w:sz w:val="24"/>
          <w:szCs w:val="24"/>
        </w:rPr>
        <w:t>c</w:t>
      </w:r>
      <w:r w:rsidRPr="00F72ED4">
        <w:rPr>
          <w:rFonts w:ascii="Calibri" w:eastAsiaTheme="minorHAnsi" w:hAnsi="Calibri"/>
          <w:sz w:val="24"/>
          <w:szCs w:val="24"/>
        </w:rPr>
        <w:t xml:space="preserve">ourt finds that the timing of the filing of the </w:t>
      </w:r>
      <w:bookmarkStart w:id="29" w:name="OLE_LINK25"/>
      <w:r w:rsidRPr="00F72ED4">
        <w:rPr>
          <w:rFonts w:ascii="Calibri" w:eastAsiaTheme="minorHAnsi" w:hAnsi="Calibri"/>
          <w:sz w:val="24"/>
          <w:szCs w:val="24"/>
        </w:rPr>
        <w:t>Helvetia</w:t>
      </w:r>
      <w:bookmarkEnd w:id="29"/>
      <w:r w:rsidRPr="00F72ED4">
        <w:rPr>
          <w:rFonts w:ascii="Calibri" w:eastAsiaTheme="minorHAnsi" w:hAnsi="Calibri"/>
          <w:sz w:val="24"/>
          <w:szCs w:val="24"/>
        </w:rPr>
        <w:t xml:space="preserve">n action raises concerns of forum shopping and oppressive and vexatious litigation. In this action, In November 2022,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filed its initial complaint, asking this court to determine, on a worldwide basis, Nebula Tech’s rights and obligations under its ETSI commitments with respect to the latter’s standard-essential patents (</w:t>
      </w:r>
      <w:proofErr w:type="spellStart"/>
      <w:r w:rsidRPr="00F72ED4">
        <w:rPr>
          <w:rFonts w:ascii="Calibri" w:eastAsiaTheme="minorHAnsi" w:hAnsi="Calibri"/>
          <w:sz w:val="24"/>
          <w:szCs w:val="24"/>
        </w:rPr>
        <w:t>LinkMesh</w:t>
      </w:r>
      <w:proofErr w:type="spellEnd"/>
      <w:r w:rsidRPr="00F72ED4">
        <w:rPr>
          <w:rFonts w:ascii="Calibri" w:eastAsiaTheme="minorHAnsi" w:hAnsi="Calibri"/>
          <w:sz w:val="24"/>
          <w:szCs w:val="24"/>
        </w:rPr>
        <w:t xml:space="preserve">). It was not until June </w:t>
      </w:r>
      <w:proofErr w:type="gramStart"/>
      <w:r w:rsidRPr="00F72ED4">
        <w:rPr>
          <w:rFonts w:ascii="Calibri" w:eastAsiaTheme="minorHAnsi" w:hAnsi="Calibri"/>
          <w:sz w:val="24"/>
          <w:szCs w:val="24"/>
        </w:rPr>
        <w:t>2023,</w:t>
      </w:r>
      <w:proofErr w:type="gramEnd"/>
      <w:r w:rsidRPr="00F72ED4">
        <w:rPr>
          <w:rFonts w:ascii="Calibri" w:eastAsiaTheme="minorHAnsi" w:hAnsi="Calibri"/>
          <w:sz w:val="24"/>
          <w:szCs w:val="24"/>
        </w:rPr>
        <w:t xml:space="preserve"> over seven months after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initiated its action, that Nebula Tech initiated the Helvetian action seeking injunctive relief for </w:t>
      </w:r>
      <w:proofErr w:type="spellStart"/>
      <w:r w:rsidRPr="00F72ED4">
        <w:rPr>
          <w:rFonts w:ascii="Calibri" w:eastAsiaTheme="minorHAnsi" w:hAnsi="Calibri"/>
          <w:sz w:val="24"/>
          <w:szCs w:val="24"/>
        </w:rPr>
        <w:t>Connectronic’s</w:t>
      </w:r>
      <w:proofErr w:type="spellEnd"/>
      <w:r w:rsidRPr="00F72ED4">
        <w:rPr>
          <w:rFonts w:ascii="Calibri" w:eastAsiaTheme="minorHAnsi" w:hAnsi="Calibri"/>
          <w:sz w:val="24"/>
          <w:szCs w:val="24"/>
        </w:rPr>
        <w:t xml:space="preserve"> alleged infringement of the same patents in Helvetia. </w:t>
      </w:r>
      <w:bookmarkStart w:id="30" w:name="OLE_LINK27"/>
      <w:r w:rsidRPr="00F72ED4">
        <w:rPr>
          <w:rFonts w:ascii="Calibri" w:eastAsiaTheme="minorHAnsi" w:hAnsi="Calibri"/>
          <w:sz w:val="24"/>
          <w:szCs w:val="24"/>
        </w:rPr>
        <w:t xml:space="preserve">The court’s concerns over forum shopping and oppressive and vexatious litigation are heightened by two facts: the portfolio patents </w:t>
      </w:r>
      <w:bookmarkStart w:id="31" w:name="OLE_LINK26"/>
      <w:r w:rsidRPr="00F72ED4">
        <w:rPr>
          <w:rFonts w:ascii="Calibri" w:eastAsiaTheme="minorHAnsi" w:hAnsi="Calibri"/>
          <w:sz w:val="24"/>
          <w:szCs w:val="24"/>
        </w:rPr>
        <w:t>Nebula Tech</w:t>
      </w:r>
      <w:bookmarkEnd w:id="31"/>
      <w:r w:rsidRPr="00F72ED4">
        <w:rPr>
          <w:rFonts w:ascii="Calibri" w:eastAsiaTheme="minorHAnsi" w:hAnsi="Calibri"/>
          <w:sz w:val="24"/>
          <w:szCs w:val="24"/>
        </w:rPr>
        <w:t xml:space="preserve"> contracted with ETSI (</w:t>
      </w:r>
      <w:proofErr w:type="spellStart"/>
      <w:r w:rsidRPr="00F72ED4">
        <w:rPr>
          <w:rFonts w:ascii="Calibri" w:eastAsiaTheme="minorHAnsi" w:hAnsi="Calibri"/>
          <w:sz w:val="24"/>
          <w:szCs w:val="24"/>
        </w:rPr>
        <w:t>LinkMesh</w:t>
      </w:r>
      <w:proofErr w:type="spellEnd"/>
      <w:r w:rsidRPr="00F72ED4">
        <w:rPr>
          <w:rFonts w:ascii="Calibri" w:eastAsiaTheme="minorHAnsi" w:hAnsi="Calibri"/>
          <w:sz w:val="24"/>
          <w:szCs w:val="24"/>
        </w:rPr>
        <w:t>) are the very patents it is asserting in the Helvetian infringement action, and Nebula Tech sought injunctive relief in Helvetia before this court could adjudicate that precise issue.</w:t>
      </w:r>
      <w:bookmarkEnd w:id="30"/>
      <w:r w:rsidRPr="00F72ED4">
        <w:rPr>
          <w:rFonts w:ascii="Calibri" w:eastAsiaTheme="minorHAnsi" w:hAnsi="Calibri"/>
          <w:sz w:val="24"/>
          <w:szCs w:val="24"/>
        </w:rPr>
        <w:t>”</w:t>
      </w:r>
    </w:p>
    <w:p w14:paraId="7374BE2F" w14:textId="46FC22D9" w:rsidR="00097DBB" w:rsidRPr="00F72ED4" w:rsidRDefault="004D5346"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Third,</w:t>
      </w:r>
      <w:r w:rsidR="00294422" w:rsidRPr="00F72ED4">
        <w:rPr>
          <w:rFonts w:ascii="Calibri" w:eastAsiaTheme="minorHAnsi" w:hAnsi="Calibri"/>
          <w:sz w:val="24"/>
          <w:szCs w:val="24"/>
        </w:rPr>
        <w:t xml:space="preserve"> the </w:t>
      </w:r>
      <w:bookmarkStart w:id="32" w:name="OLE_LINK29"/>
      <w:r w:rsidR="00294422" w:rsidRPr="00F72ED4">
        <w:rPr>
          <w:rFonts w:ascii="Calibri" w:eastAsiaTheme="minorHAnsi" w:hAnsi="Calibri"/>
          <w:sz w:val="24"/>
          <w:szCs w:val="24"/>
        </w:rPr>
        <w:t xml:space="preserve">District Court of </w:t>
      </w:r>
      <w:proofErr w:type="spellStart"/>
      <w:r w:rsidR="00294422" w:rsidRPr="00F72ED4">
        <w:rPr>
          <w:rFonts w:ascii="Calibri" w:eastAsiaTheme="minorHAnsi" w:hAnsi="Calibri"/>
          <w:sz w:val="24"/>
          <w:szCs w:val="24"/>
        </w:rPr>
        <w:t>Alphoria</w:t>
      </w:r>
      <w:bookmarkEnd w:id="32"/>
      <w:proofErr w:type="spellEnd"/>
      <w:r w:rsidR="00294422" w:rsidRPr="00F72ED4">
        <w:rPr>
          <w:rFonts w:ascii="Calibri" w:eastAsiaTheme="minorHAnsi" w:hAnsi="Calibri"/>
          <w:sz w:val="24"/>
          <w:szCs w:val="24"/>
        </w:rPr>
        <w:t xml:space="preserve"> found that the concerns of international </w:t>
      </w:r>
      <w:r w:rsidR="00294422" w:rsidRPr="00F72ED4">
        <w:rPr>
          <w:rFonts w:ascii="Calibri" w:eastAsiaTheme="minorHAnsi" w:hAnsi="Calibri"/>
          <w:sz w:val="24"/>
          <w:szCs w:val="24"/>
        </w:rPr>
        <w:lastRenderedPageBreak/>
        <w:t>comity had been alleviated, and it explained that:</w:t>
      </w:r>
    </w:p>
    <w:p w14:paraId="5682FD4C" w14:textId="3B8F47F4" w:rsidR="00097DBB" w:rsidRPr="00F72ED4" w:rsidRDefault="00294422" w:rsidP="00A12ABB">
      <w:pPr>
        <w:pStyle w:val="ac"/>
        <w:numPr>
          <w:ilvl w:val="1"/>
          <w:numId w:val="1"/>
        </w:numPr>
        <w:adjustRightInd w:val="0"/>
        <w:snapToGrid w:val="0"/>
        <w:spacing w:beforeLines="50" w:before="156" w:afterLines="50" w:after="156"/>
        <w:ind w:rightChars="200" w:right="420"/>
        <w:contextualSpacing w:val="0"/>
        <w:rPr>
          <w:rFonts w:ascii="Calibri" w:eastAsiaTheme="minorHAnsi" w:hAnsi="Calibri"/>
          <w:sz w:val="24"/>
          <w:szCs w:val="24"/>
        </w:rPr>
      </w:pPr>
      <w:r w:rsidRPr="00F72ED4">
        <w:rPr>
          <w:rFonts w:ascii="Calibri" w:eastAsiaTheme="minorHAnsi" w:hAnsi="Calibri"/>
          <w:sz w:val="24"/>
          <w:szCs w:val="24"/>
        </w:rPr>
        <w:t xml:space="preserve">“In this case, a foreign court has been belatedly asked by Nebula Tech to decide an issue already placed before this court. As stated,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initiated the action in this court in November 2022 placing directly at issue whether it is entitled to a license for Nebula Tech’s standard essential patents. Then, over seven months later, Nebula Tech seeks to litigate that precise issue with respect to the same patents in the Helvetian action</w:t>
      </w:r>
      <w:r w:rsidR="00622262" w:rsidRPr="00F72ED4">
        <w:rPr>
          <w:rFonts w:ascii="Calibri" w:eastAsiaTheme="minorHAnsi" w:hAnsi="Calibri"/>
          <w:sz w:val="24"/>
          <w:szCs w:val="24"/>
        </w:rPr>
        <w:t xml:space="preserve">, denying this court the right to exercise jurisdiction over the prior filed action. </w:t>
      </w:r>
    </w:p>
    <w:p w14:paraId="32805A32" w14:textId="016CC068" w:rsidR="00097DBB" w:rsidRPr="00F72ED4" w:rsidRDefault="00E6356C" w:rsidP="00A12ABB">
      <w:pPr>
        <w:pStyle w:val="ac"/>
        <w:numPr>
          <w:ilvl w:val="1"/>
          <w:numId w:val="1"/>
        </w:numPr>
        <w:adjustRightInd w:val="0"/>
        <w:snapToGrid w:val="0"/>
        <w:spacing w:beforeLines="50" w:before="156" w:afterLines="50" w:after="156"/>
        <w:ind w:rightChars="200" w:right="420"/>
        <w:contextualSpacing w:val="0"/>
        <w:rPr>
          <w:rFonts w:ascii="Calibri" w:eastAsiaTheme="minorHAnsi" w:hAnsi="Calibri"/>
          <w:sz w:val="24"/>
          <w:szCs w:val="24"/>
        </w:rPr>
      </w:pPr>
      <w:r w:rsidRPr="00F72ED4">
        <w:rPr>
          <w:rFonts w:ascii="Calibri" w:eastAsiaTheme="minorHAnsi" w:hAnsi="Calibri"/>
          <w:sz w:val="24"/>
          <w:szCs w:val="24"/>
        </w:rPr>
        <w:t>What f</w:t>
      </w:r>
      <w:r w:rsidR="00294422" w:rsidRPr="00F72ED4">
        <w:rPr>
          <w:rFonts w:ascii="Calibri" w:eastAsiaTheme="minorHAnsi" w:hAnsi="Calibri"/>
          <w:sz w:val="24"/>
          <w:szCs w:val="24"/>
        </w:rPr>
        <w:t xml:space="preserve">urther reducing the court’s concern of international comity is that an anti-enforcement injunction is limited in scope to enjoining Nebula Tech from enforcing any injunctive relief that it may receive in the Helvetian action with respect to the Helvetian patents. Thus, an anti-enforcement injunction implicates comity only so far as necessary to preserve this court’s ability to adjudicate the duplicative dispute over the propriety of injunctive relief. Moreover, upon adjudication of the duplicative issue, this court will remove the anti-enforcement injunction and the parties will follow the court’s determination of the parties’ rights and obligations under Nebula Tech’s contract with the ETSI regarding its standard essential patents. </w:t>
      </w:r>
    </w:p>
    <w:p w14:paraId="278BAF35" w14:textId="2DC779BA"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claimed that “it has a strong interest in adjudicating the claims before it, as </w:t>
      </w:r>
      <w:proofErr w:type="spellStart"/>
      <w:r w:rsidR="007E25FA" w:rsidRPr="00F72ED4">
        <w:rPr>
          <w:rFonts w:ascii="Calibri" w:eastAsiaTheme="minorHAnsi" w:hAnsi="Calibri"/>
          <w:sz w:val="24"/>
          <w:szCs w:val="24"/>
        </w:rPr>
        <w:t>Keltron</w:t>
      </w:r>
      <w:proofErr w:type="spellEnd"/>
      <w:r w:rsidR="007E25FA" w:rsidRPr="00F72ED4">
        <w:rPr>
          <w:rFonts w:ascii="Calibri" w:eastAsiaTheme="minorHAnsi" w:hAnsi="Calibri"/>
          <w:sz w:val="24"/>
          <w:szCs w:val="24"/>
        </w:rPr>
        <w:t xml:space="preserve"> corporation is one of the parties</w:t>
      </w:r>
      <w:r w:rsidRPr="00F72ED4">
        <w:rPr>
          <w:rFonts w:ascii="Calibri" w:eastAsiaTheme="minorHAnsi" w:hAnsi="Calibri"/>
          <w:sz w:val="24"/>
          <w:szCs w:val="24"/>
        </w:rPr>
        <w:t xml:space="preserve"> and the facts at issue (i.e., the alleged refusal to offer a license on FRAND terms) in the contract dispute took place within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Based on the foregoing, the </w:t>
      </w:r>
      <w:r w:rsidR="00AD1E51" w:rsidRPr="00F72ED4">
        <w:rPr>
          <w:rFonts w:ascii="Calibri" w:eastAsiaTheme="minorHAnsi" w:hAnsi="Calibri"/>
          <w:sz w:val="24"/>
          <w:szCs w:val="24"/>
        </w:rPr>
        <w:t xml:space="preserve">District Court of </w:t>
      </w:r>
      <w:proofErr w:type="spellStart"/>
      <w:r w:rsidR="00AD1E51"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grants </w:t>
      </w:r>
      <w:proofErr w:type="spellStart"/>
      <w:r w:rsidRPr="00F72ED4">
        <w:rPr>
          <w:rFonts w:ascii="Calibri" w:eastAsiaTheme="minorHAnsi" w:hAnsi="Calibri"/>
          <w:sz w:val="24"/>
          <w:szCs w:val="24"/>
        </w:rPr>
        <w:t>Connectronic’s</w:t>
      </w:r>
      <w:proofErr w:type="spellEnd"/>
      <w:r w:rsidRPr="00F72ED4">
        <w:rPr>
          <w:rFonts w:ascii="Calibri" w:eastAsiaTheme="minorHAnsi" w:hAnsi="Calibri"/>
          <w:sz w:val="24"/>
          <w:szCs w:val="24"/>
        </w:rPr>
        <w:t xml:space="preserve"> motion for a </w:t>
      </w:r>
      <w:r w:rsidR="00B77896" w:rsidRPr="00F72ED4">
        <w:rPr>
          <w:rFonts w:ascii="Calibri" w:eastAsiaTheme="minorHAnsi" w:hAnsi="Calibri"/>
          <w:sz w:val="24"/>
          <w:szCs w:val="24"/>
        </w:rPr>
        <w:t>temporary</w:t>
      </w:r>
      <w:r w:rsidRPr="00F72ED4">
        <w:rPr>
          <w:rFonts w:ascii="Calibri" w:eastAsiaTheme="minorHAnsi" w:hAnsi="Calibri"/>
          <w:sz w:val="24"/>
          <w:szCs w:val="24"/>
        </w:rPr>
        <w:t xml:space="preserve"> injunction and stay</w:t>
      </w:r>
      <w:r w:rsidR="005C42FD">
        <w:rPr>
          <w:rFonts w:ascii="Calibri" w:eastAsiaTheme="minorHAnsi" w:hAnsi="Calibri" w:hint="eastAsia"/>
          <w:sz w:val="24"/>
          <w:szCs w:val="24"/>
        </w:rPr>
        <w:t>s</w:t>
      </w:r>
      <w:r w:rsidRPr="00F72ED4">
        <w:rPr>
          <w:rFonts w:ascii="Calibri" w:eastAsiaTheme="minorHAnsi" w:hAnsi="Calibri"/>
          <w:sz w:val="24"/>
          <w:szCs w:val="24"/>
        </w:rPr>
        <w:t xml:space="preserve"> the enforcement in Helvetia </w:t>
      </w:r>
      <w:r w:rsidR="00DF3A1B" w:rsidRPr="00F72ED4">
        <w:rPr>
          <w:rFonts w:ascii="Calibri" w:eastAsiaTheme="minorHAnsi" w:hAnsi="Calibri"/>
          <w:sz w:val="24"/>
          <w:szCs w:val="24"/>
        </w:rPr>
        <w:t xml:space="preserve">until the </w:t>
      </w:r>
      <w:proofErr w:type="spellStart"/>
      <w:r w:rsidR="00DF3A1B" w:rsidRPr="00F72ED4">
        <w:rPr>
          <w:rFonts w:ascii="Calibri" w:eastAsiaTheme="minorHAnsi" w:hAnsi="Calibri"/>
          <w:sz w:val="24"/>
          <w:szCs w:val="24"/>
        </w:rPr>
        <w:t>Keltron</w:t>
      </w:r>
      <w:proofErr w:type="spellEnd"/>
      <w:r w:rsidR="00DF3A1B" w:rsidRPr="00F72ED4">
        <w:rPr>
          <w:rFonts w:ascii="Calibri" w:eastAsiaTheme="minorHAnsi" w:hAnsi="Calibri"/>
          <w:sz w:val="24"/>
          <w:szCs w:val="24"/>
        </w:rPr>
        <w:t xml:space="preserve"> court determines the FRAND licensing rate.</w:t>
      </w:r>
      <w:r w:rsidRPr="00F72ED4">
        <w:rPr>
          <w:rFonts w:ascii="Calibri" w:eastAsiaTheme="minorHAnsi" w:hAnsi="Calibri"/>
          <w:sz w:val="24"/>
          <w:szCs w:val="24"/>
        </w:rPr>
        <w:t xml:space="preserve"> On 27 September 2024, the Appeal Court of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fully upheld the findings and conclusions of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w:t>
      </w:r>
    </w:p>
    <w:p w14:paraId="60257E0D" w14:textId="54F890C0"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bookmarkStart w:id="33" w:name="OLE_LINK36"/>
      <w:bookmarkStart w:id="34" w:name="OLE_LINK34"/>
      <w:r w:rsidRPr="00F72ED4">
        <w:rPr>
          <w:rFonts w:ascii="Calibri" w:eastAsiaTheme="minorHAnsi" w:hAnsi="Calibri"/>
          <w:sz w:val="24"/>
          <w:szCs w:val="24"/>
        </w:rPr>
        <w:t>Helvetia</w:t>
      </w:r>
      <w:bookmarkEnd w:id="33"/>
      <w:r w:rsidRPr="00F72ED4">
        <w:rPr>
          <w:rFonts w:ascii="Calibri" w:eastAsiaTheme="minorHAnsi" w:hAnsi="Calibri"/>
          <w:sz w:val="24"/>
          <w:szCs w:val="24"/>
        </w:rPr>
        <w:t xml:space="preserve"> objected to </w:t>
      </w:r>
      <w:bookmarkStart w:id="35" w:name="OLE_LINK5"/>
      <w:r w:rsidRPr="00F72ED4">
        <w:rPr>
          <w:rFonts w:ascii="Calibri" w:eastAsiaTheme="minorHAnsi" w:hAnsi="Calibri"/>
          <w:sz w:val="24"/>
          <w:szCs w:val="24"/>
        </w:rPr>
        <w:t xml:space="preserve">the anti-enforcement injunction issued by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on 29 May 2024 and upheld by the Appeal Court in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on 27 September 2024</w:t>
      </w:r>
      <w:bookmarkEnd w:id="35"/>
      <w:r w:rsidRPr="00F72ED4">
        <w:rPr>
          <w:rFonts w:ascii="Calibri" w:eastAsiaTheme="minorHAnsi" w:hAnsi="Calibri"/>
          <w:sz w:val="24"/>
          <w:szCs w:val="24"/>
        </w:rPr>
        <w:t xml:space="preserve">, which bars Nebula Tech, a Helvetian company, from enforcing a Helvetian judgment concerning the validity and infringement of Helvetian patents. Helvetia criticized the AEI order for directly interfering with the sovereign jurisdiction of Helvetian courts and the enforceability of Helvetian intellectual property rights. </w:t>
      </w:r>
      <w:bookmarkStart w:id="36" w:name="OLE_LINK37"/>
      <w:r w:rsidRPr="00F72ED4">
        <w:rPr>
          <w:rFonts w:ascii="Calibri" w:eastAsiaTheme="minorHAnsi" w:hAnsi="Calibri"/>
          <w:sz w:val="24"/>
          <w:szCs w:val="24"/>
        </w:rPr>
        <w:t xml:space="preserve">It stated that, under Helvetian law, any alleged harm to </w:t>
      </w:r>
      <w:proofErr w:type="spellStart"/>
      <w:r w:rsidRPr="00F72ED4">
        <w:rPr>
          <w:rFonts w:ascii="Calibri" w:eastAsiaTheme="minorHAnsi" w:hAnsi="Calibri"/>
          <w:sz w:val="24"/>
          <w:szCs w:val="24"/>
        </w:rPr>
        <w:t>Keltron’s</w:t>
      </w:r>
      <w:proofErr w:type="spellEnd"/>
      <w:r w:rsidRPr="00F72ED4">
        <w:rPr>
          <w:rFonts w:ascii="Calibri" w:eastAsiaTheme="minorHAnsi" w:hAnsi="Calibri"/>
          <w:sz w:val="24"/>
          <w:szCs w:val="24"/>
        </w:rPr>
        <w:t xml:space="preserve"> company, </w:t>
      </w:r>
      <w:proofErr w:type="spellStart"/>
      <w:r w:rsidRPr="00F72ED4">
        <w:rPr>
          <w:rFonts w:ascii="Calibri" w:eastAsiaTheme="minorHAnsi" w:hAnsi="Calibri"/>
          <w:sz w:val="24"/>
          <w:szCs w:val="24"/>
        </w:rPr>
        <w:t>Connectronic</w:t>
      </w:r>
      <w:proofErr w:type="spellEnd"/>
      <w:r w:rsidRPr="00F72ED4">
        <w:rPr>
          <w:rFonts w:ascii="Calibri" w:eastAsiaTheme="minorHAnsi" w:hAnsi="Calibri"/>
          <w:sz w:val="24"/>
          <w:szCs w:val="24"/>
        </w:rPr>
        <w:t xml:space="preserve">, </w:t>
      </w:r>
      <w:r w:rsidR="00A6275D" w:rsidRPr="00F72ED4">
        <w:rPr>
          <w:rFonts w:ascii="Calibri" w:eastAsiaTheme="minorHAnsi" w:hAnsi="Calibri"/>
          <w:sz w:val="24"/>
          <w:szCs w:val="24"/>
        </w:rPr>
        <w:t xml:space="preserve">shall be </w:t>
      </w:r>
      <w:r w:rsidRPr="00F72ED4">
        <w:rPr>
          <w:rFonts w:ascii="Calibri" w:eastAsiaTheme="minorHAnsi" w:hAnsi="Calibri"/>
          <w:sz w:val="24"/>
          <w:szCs w:val="24"/>
        </w:rPr>
        <w:t>purely financial and could be remedied by a damages award.</w:t>
      </w:r>
      <w:bookmarkEnd w:id="36"/>
    </w:p>
    <w:bookmarkEnd w:id="34"/>
    <w:p w14:paraId="030448F0"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r w:rsidRPr="00F72ED4">
        <w:rPr>
          <w:rFonts w:ascii="Calibri" w:eastAsiaTheme="minorHAnsi" w:hAnsi="Calibri"/>
          <w:b/>
          <w:bCs/>
          <w:sz w:val="24"/>
          <w:szCs w:val="24"/>
        </w:rPr>
        <w:t xml:space="preserve">Complaint by </w:t>
      </w:r>
      <w:bookmarkStart w:id="37" w:name="OLE_LINK3"/>
      <w:r w:rsidRPr="00F72ED4">
        <w:rPr>
          <w:rFonts w:ascii="Calibri" w:eastAsiaTheme="minorHAnsi" w:hAnsi="Calibri"/>
          <w:b/>
          <w:bCs/>
          <w:sz w:val="24"/>
          <w:szCs w:val="24"/>
        </w:rPr>
        <w:t>Helvetia</w:t>
      </w:r>
      <w:bookmarkEnd w:id="37"/>
    </w:p>
    <w:p w14:paraId="590F1CAC" w14:textId="77777777"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On 2 May 2025, the Government of Helvetia requested a consultation with the Government of </w:t>
      </w: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pursuant to Article 1 and 4 of the Understanding on Rules and Procedures Governing the Settlement of Disputes (“DSU”) and Article 64.1 of the Agreement on Trade Related Aspects of Intellectual Property Rights </w:t>
      </w:r>
      <w:r w:rsidRPr="00F72ED4">
        <w:rPr>
          <w:rFonts w:ascii="Calibri" w:eastAsiaTheme="minorHAnsi" w:hAnsi="Calibri"/>
          <w:sz w:val="24"/>
          <w:szCs w:val="24"/>
        </w:rPr>
        <w:lastRenderedPageBreak/>
        <w:t>(“TRIPS Agreement”). After two months, the consultations ended without a mutually satisfactory solution. On 11 July 2025, Helvetia requested the establishment of a Panel. The Panel was established at the DSB meeting on 29 August 2025.</w:t>
      </w:r>
    </w:p>
    <w:p w14:paraId="5ABC2BDA" w14:textId="77777777" w:rsidR="00097DBB" w:rsidRPr="00F72ED4"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In its request for the establishment of a Panel, Helvetia argues that the </w:t>
      </w:r>
      <w:bookmarkStart w:id="38" w:name="OLE_LINK6"/>
      <w:r w:rsidRPr="00F72ED4">
        <w:rPr>
          <w:rFonts w:ascii="Calibri" w:eastAsiaTheme="minorHAnsi" w:hAnsi="Calibri"/>
          <w:sz w:val="24"/>
          <w:szCs w:val="24"/>
        </w:rPr>
        <w:t>anti-enforcement injunction issued</w:t>
      </w:r>
      <w:bookmarkEnd w:id="38"/>
      <w:r w:rsidRPr="00F72ED4">
        <w:rPr>
          <w:rFonts w:ascii="Calibri" w:eastAsiaTheme="minorHAnsi" w:hAnsi="Calibri"/>
          <w:sz w:val="24"/>
          <w:szCs w:val="24"/>
        </w:rPr>
        <w:t xml:space="preserve"> by the District Court of </w:t>
      </w:r>
      <w:proofErr w:type="spellStart"/>
      <w:r w:rsidRPr="00F72ED4">
        <w:rPr>
          <w:rFonts w:ascii="Calibri" w:eastAsiaTheme="minorHAnsi" w:hAnsi="Calibri"/>
          <w:sz w:val="24"/>
          <w:szCs w:val="24"/>
        </w:rPr>
        <w:t>Alphoria</w:t>
      </w:r>
      <w:proofErr w:type="spellEnd"/>
      <w:r w:rsidRPr="00F72ED4">
        <w:rPr>
          <w:rFonts w:ascii="Calibri" w:eastAsiaTheme="minorHAnsi" w:hAnsi="Calibri"/>
          <w:sz w:val="24"/>
          <w:szCs w:val="24"/>
        </w:rPr>
        <w:t xml:space="preserve"> (“DCA”) on 29 May 2024 in </w:t>
      </w:r>
      <w:proofErr w:type="spellStart"/>
      <w:r w:rsidRPr="00F72ED4">
        <w:rPr>
          <w:rFonts w:ascii="Calibri" w:eastAsiaTheme="minorHAnsi" w:hAnsi="Calibri"/>
          <w:i/>
          <w:iCs/>
          <w:sz w:val="24"/>
          <w:szCs w:val="24"/>
        </w:rPr>
        <w:t>Connectronic</w:t>
      </w:r>
      <w:proofErr w:type="spellEnd"/>
      <w:r w:rsidRPr="00F72ED4">
        <w:rPr>
          <w:rFonts w:ascii="Calibri" w:eastAsiaTheme="minorHAnsi" w:hAnsi="Calibri"/>
          <w:i/>
          <w:iCs/>
          <w:sz w:val="24"/>
          <w:szCs w:val="24"/>
        </w:rPr>
        <w:t xml:space="preserve"> v, Nebula Tech,</w:t>
      </w:r>
      <w:r w:rsidRPr="00F72ED4">
        <w:rPr>
          <w:rFonts w:ascii="Calibri" w:eastAsiaTheme="minorHAnsi" w:hAnsi="Calibri"/>
          <w:sz w:val="24"/>
          <w:szCs w:val="24"/>
        </w:rPr>
        <w:t xml:space="preserve"> and upheld by the Appeal Court in </w:t>
      </w:r>
      <w:bookmarkStart w:id="39" w:name="OLE_LINK11"/>
      <w:proofErr w:type="spellStart"/>
      <w:r w:rsidRPr="00F72ED4">
        <w:rPr>
          <w:rFonts w:ascii="Calibri" w:eastAsiaTheme="minorHAnsi" w:hAnsi="Calibri"/>
          <w:sz w:val="24"/>
          <w:szCs w:val="24"/>
        </w:rPr>
        <w:t>Keltron</w:t>
      </w:r>
      <w:bookmarkEnd w:id="39"/>
      <w:proofErr w:type="spellEnd"/>
      <w:r w:rsidRPr="00F72ED4">
        <w:rPr>
          <w:rFonts w:ascii="Calibri" w:eastAsiaTheme="minorHAnsi" w:hAnsi="Calibri"/>
          <w:sz w:val="24"/>
          <w:szCs w:val="24"/>
        </w:rPr>
        <w:t xml:space="preserve"> on 27 September 2024, breached </w:t>
      </w:r>
      <w:proofErr w:type="spellStart"/>
      <w:r w:rsidRPr="00F72ED4">
        <w:rPr>
          <w:rFonts w:ascii="Calibri" w:eastAsiaTheme="minorHAnsi" w:hAnsi="Calibri"/>
          <w:sz w:val="24"/>
          <w:szCs w:val="24"/>
        </w:rPr>
        <w:t>Keltron's</w:t>
      </w:r>
      <w:proofErr w:type="spellEnd"/>
      <w:r w:rsidRPr="00F72ED4">
        <w:rPr>
          <w:rFonts w:ascii="Calibri" w:eastAsiaTheme="minorHAnsi" w:hAnsi="Calibri"/>
          <w:sz w:val="24"/>
          <w:szCs w:val="24"/>
        </w:rPr>
        <w:t xml:space="preserve"> obligations under the covered agreements, in particular: </w:t>
      </w:r>
    </w:p>
    <w:p w14:paraId="7F58AAD2" w14:textId="28B12B52" w:rsidR="00097DBB" w:rsidRPr="00F72ED4" w:rsidRDefault="00294422" w:rsidP="00A12ABB">
      <w:pPr>
        <w:pStyle w:val="ac"/>
        <w:numPr>
          <w:ilvl w:val="2"/>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Article 1.1, first sentence, of the TRIPS Agreement, in conjunction with Article 28.1 of the TRIPS Agreement, because </w:t>
      </w:r>
      <w:proofErr w:type="spellStart"/>
      <w:r w:rsidRPr="00F72ED4">
        <w:rPr>
          <w:rFonts w:ascii="Calibri" w:eastAsiaTheme="minorHAnsi" w:hAnsi="Calibri"/>
          <w:sz w:val="24"/>
          <w:szCs w:val="24"/>
        </w:rPr>
        <w:t>Keltron's</w:t>
      </w:r>
      <w:proofErr w:type="spellEnd"/>
      <w:r w:rsidRPr="00F72ED4">
        <w:rPr>
          <w:rFonts w:ascii="Calibri" w:eastAsiaTheme="minorHAnsi" w:hAnsi="Calibri"/>
          <w:sz w:val="24"/>
          <w:szCs w:val="24"/>
        </w:rPr>
        <w:t xml:space="preserve"> measure restricts, or seeks to restrict, the exercise by patent owners of their exclusive rights to prevent </w:t>
      </w:r>
      <w:r w:rsidR="008654FE" w:rsidRPr="00F72ED4">
        <w:rPr>
          <w:rFonts w:ascii="Calibri" w:eastAsiaTheme="minorHAnsi" w:hAnsi="Calibri"/>
          <w:sz w:val="24"/>
          <w:szCs w:val="24"/>
        </w:rPr>
        <w:t xml:space="preserve">the </w:t>
      </w:r>
      <w:r w:rsidRPr="00F72ED4">
        <w:rPr>
          <w:rFonts w:ascii="Calibri" w:eastAsiaTheme="minorHAnsi" w:hAnsi="Calibri"/>
          <w:sz w:val="24"/>
          <w:szCs w:val="24"/>
        </w:rPr>
        <w:t xml:space="preserve">third parties not having the owner's consent from making, using, offering for sale, selling, or importing the product that is the subject matter of a patent or is obtained directly by a patented process. </w:t>
      </w:r>
    </w:p>
    <w:p w14:paraId="3213470F" w14:textId="3B765B33" w:rsidR="00097DBB" w:rsidRPr="00F72ED4" w:rsidRDefault="00294422" w:rsidP="00A12ABB">
      <w:pPr>
        <w:pStyle w:val="ac"/>
        <w:numPr>
          <w:ilvl w:val="2"/>
          <w:numId w:val="1"/>
        </w:numPr>
        <w:adjustRightInd w:val="0"/>
        <w:snapToGrid w:val="0"/>
        <w:spacing w:beforeLines="50" w:before="156" w:afterLines="50" w:after="156"/>
        <w:contextualSpacing w:val="0"/>
        <w:rPr>
          <w:rFonts w:ascii="Calibri" w:eastAsiaTheme="minorHAnsi" w:hAnsi="Calibri"/>
          <w:sz w:val="24"/>
          <w:szCs w:val="24"/>
        </w:rPr>
      </w:pPr>
      <w:r w:rsidRPr="00F72ED4">
        <w:rPr>
          <w:rFonts w:ascii="Calibri" w:eastAsiaTheme="minorHAnsi" w:hAnsi="Calibri"/>
          <w:sz w:val="24"/>
          <w:szCs w:val="24"/>
        </w:rPr>
        <w:t xml:space="preserve">Article 1.1, first sentence, of the TRIPS Agreement, in conjunction with Article 28.2 of the TRIPS Agreement, because </w:t>
      </w:r>
      <w:proofErr w:type="spellStart"/>
      <w:r w:rsidRPr="00F72ED4">
        <w:rPr>
          <w:rFonts w:ascii="Calibri" w:eastAsiaTheme="minorHAnsi" w:hAnsi="Calibri"/>
          <w:sz w:val="24"/>
          <w:szCs w:val="24"/>
        </w:rPr>
        <w:t>Keltron's</w:t>
      </w:r>
      <w:proofErr w:type="spellEnd"/>
      <w:r w:rsidRPr="00F72ED4">
        <w:rPr>
          <w:rFonts w:ascii="Calibri" w:eastAsiaTheme="minorHAnsi" w:hAnsi="Calibri"/>
          <w:sz w:val="24"/>
          <w:szCs w:val="24"/>
        </w:rPr>
        <w:t xml:space="preserve"> measure, by prohibiting </w:t>
      </w:r>
      <w:r w:rsidR="00FA6B50" w:rsidRPr="00F72ED4">
        <w:rPr>
          <w:rFonts w:ascii="Calibri" w:eastAsiaTheme="minorHAnsi" w:hAnsi="Calibri"/>
          <w:sz w:val="24"/>
          <w:szCs w:val="24"/>
        </w:rPr>
        <w:t xml:space="preserve">the </w:t>
      </w:r>
      <w:r w:rsidRPr="00F72ED4">
        <w:rPr>
          <w:rFonts w:ascii="Calibri" w:eastAsiaTheme="minorHAnsi" w:hAnsi="Calibri"/>
          <w:sz w:val="24"/>
          <w:szCs w:val="24"/>
        </w:rPr>
        <w:t>enforcement of legal remed</w:t>
      </w:r>
      <w:r w:rsidR="00FA6B50" w:rsidRPr="00F72ED4">
        <w:rPr>
          <w:rFonts w:ascii="Calibri" w:eastAsiaTheme="minorHAnsi" w:hAnsi="Calibri"/>
          <w:sz w:val="24"/>
          <w:szCs w:val="24"/>
        </w:rPr>
        <w:t xml:space="preserve">ies </w:t>
      </w:r>
      <w:r w:rsidRPr="00F72ED4">
        <w:rPr>
          <w:rFonts w:ascii="Calibri" w:eastAsiaTheme="minorHAnsi" w:hAnsi="Calibri"/>
          <w:sz w:val="24"/>
          <w:szCs w:val="24"/>
        </w:rPr>
        <w:t>for the owners of the type of patents at issue, restricts, or seeks to restrict, the exercise by patent owners of their right to conclude licensing contracts.</w:t>
      </w:r>
    </w:p>
    <w:p w14:paraId="5034C4FE" w14:textId="5E762E97" w:rsidR="00097DBB" w:rsidRDefault="00294422" w:rsidP="00A12ABB">
      <w:pPr>
        <w:pStyle w:val="ac"/>
        <w:numPr>
          <w:ilvl w:val="0"/>
          <w:numId w:val="1"/>
        </w:numPr>
        <w:adjustRightInd w:val="0"/>
        <w:snapToGrid w:val="0"/>
        <w:spacing w:beforeLines="50" w:before="156" w:afterLines="50" w:after="156"/>
        <w:contextualSpacing w:val="0"/>
        <w:rPr>
          <w:rFonts w:ascii="Calibri" w:eastAsiaTheme="minorHAnsi" w:hAnsi="Calibri"/>
          <w:sz w:val="24"/>
          <w:szCs w:val="24"/>
        </w:rPr>
      </w:pPr>
      <w:proofErr w:type="spellStart"/>
      <w:r w:rsidRPr="00F72ED4">
        <w:rPr>
          <w:rFonts w:ascii="Calibri" w:eastAsiaTheme="minorHAnsi" w:hAnsi="Calibri"/>
          <w:sz w:val="24"/>
          <w:szCs w:val="24"/>
        </w:rPr>
        <w:t>Keltron</w:t>
      </w:r>
      <w:proofErr w:type="spellEnd"/>
      <w:r w:rsidRPr="00F72ED4">
        <w:rPr>
          <w:rFonts w:ascii="Calibri" w:eastAsiaTheme="minorHAnsi" w:hAnsi="Calibri"/>
          <w:sz w:val="24"/>
          <w:szCs w:val="24"/>
        </w:rPr>
        <w:t xml:space="preserve"> denies all the claims raised by Helvetia and requests that the Panel </w:t>
      </w:r>
      <w:r w:rsidR="00661539" w:rsidRPr="00F72ED4">
        <w:rPr>
          <w:rFonts w:ascii="Calibri" w:eastAsiaTheme="minorHAnsi" w:hAnsi="Calibri"/>
          <w:sz w:val="24"/>
          <w:szCs w:val="24"/>
        </w:rPr>
        <w:t xml:space="preserve">shall </w:t>
      </w:r>
      <w:r w:rsidRPr="00F72ED4">
        <w:rPr>
          <w:rFonts w:ascii="Calibri" w:eastAsiaTheme="minorHAnsi" w:hAnsi="Calibri"/>
          <w:sz w:val="24"/>
          <w:szCs w:val="24"/>
        </w:rPr>
        <w:t>reject Helvetia’s claims in their entirety.</w:t>
      </w:r>
    </w:p>
    <w:p w14:paraId="07976208" w14:textId="77777777" w:rsidR="00EC15A1" w:rsidRDefault="00EC15A1" w:rsidP="00BE262B">
      <w:pPr>
        <w:adjustRightInd w:val="0"/>
        <w:snapToGrid w:val="0"/>
        <w:spacing w:beforeLines="50" w:before="156" w:afterLines="50" w:after="156"/>
        <w:rPr>
          <w:rFonts w:ascii="Calibri" w:eastAsiaTheme="minorHAnsi" w:hAnsi="Calibri"/>
          <w:b/>
          <w:sz w:val="24"/>
          <w:szCs w:val="24"/>
        </w:rPr>
      </w:pPr>
    </w:p>
    <w:p w14:paraId="75BB4EFB" w14:textId="6EFB3201" w:rsidR="00BE262B" w:rsidRPr="00671A60" w:rsidRDefault="00BE262B" w:rsidP="00BE262B">
      <w:pPr>
        <w:adjustRightInd w:val="0"/>
        <w:snapToGrid w:val="0"/>
        <w:spacing w:beforeLines="50" w:before="156" w:afterLines="50" w:after="156"/>
        <w:rPr>
          <w:rFonts w:ascii="Calibri" w:eastAsiaTheme="minorHAnsi" w:hAnsi="Calibri"/>
          <w:b/>
          <w:sz w:val="24"/>
          <w:szCs w:val="24"/>
        </w:rPr>
      </w:pPr>
      <w:r w:rsidRPr="00671A60">
        <w:rPr>
          <w:rFonts w:ascii="Calibri" w:eastAsiaTheme="minorHAnsi" w:hAnsi="Calibri"/>
          <w:b/>
          <w:sz w:val="24"/>
          <w:szCs w:val="24"/>
        </w:rPr>
        <w:t>Note</w:t>
      </w:r>
    </w:p>
    <w:p w14:paraId="77A0CD91" w14:textId="3AE2C0E2" w:rsidR="00BE262B" w:rsidRPr="00671A60" w:rsidRDefault="00E3035C" w:rsidP="00BE262B">
      <w:pPr>
        <w:adjustRightInd w:val="0"/>
        <w:snapToGrid w:val="0"/>
        <w:spacing w:beforeLines="50" w:before="156" w:afterLines="50" w:after="156"/>
        <w:rPr>
          <w:rFonts w:ascii="Calibri" w:eastAsiaTheme="minorHAnsi" w:hAnsi="Calibri"/>
          <w:sz w:val="24"/>
          <w:szCs w:val="24"/>
        </w:rPr>
      </w:pPr>
      <w:r w:rsidRPr="00671A60">
        <w:rPr>
          <w:rFonts w:ascii="Calibri" w:hAnsi="Calibri" w:cs="Segoe UI"/>
          <w:sz w:val="24"/>
          <w:szCs w:val="24"/>
          <w:shd w:val="clear" w:color="auto" w:fill="FFFFFF"/>
        </w:rPr>
        <w:t xml:space="preserve">Helvetia is a contracting party to the 2005 Hague Convention on Choice of Court Agreements (in force since 1 October 2015); </w:t>
      </w:r>
      <w:proofErr w:type="spellStart"/>
      <w:r w:rsidRPr="00671A60">
        <w:rPr>
          <w:rFonts w:ascii="Calibri" w:hAnsi="Calibri" w:cs="Segoe UI"/>
          <w:sz w:val="24"/>
          <w:szCs w:val="24"/>
          <w:shd w:val="clear" w:color="auto" w:fill="FFFFFF"/>
        </w:rPr>
        <w:t>Keltron</w:t>
      </w:r>
      <w:proofErr w:type="spellEnd"/>
      <w:r w:rsidRPr="00671A60">
        <w:rPr>
          <w:rFonts w:ascii="Calibri" w:hAnsi="Calibri" w:cs="Segoe UI"/>
          <w:sz w:val="24"/>
          <w:szCs w:val="24"/>
          <w:shd w:val="clear" w:color="auto" w:fill="FFFFFF"/>
        </w:rPr>
        <w:t xml:space="preserve"> is not.</w:t>
      </w:r>
    </w:p>
    <w:p w14:paraId="559881F4" w14:textId="77777777" w:rsidR="00EC15A1" w:rsidRDefault="00EC15A1" w:rsidP="00A12ABB">
      <w:pPr>
        <w:adjustRightInd w:val="0"/>
        <w:snapToGrid w:val="0"/>
        <w:spacing w:beforeLines="50" w:before="156" w:afterLines="50" w:after="156"/>
        <w:rPr>
          <w:rFonts w:ascii="Calibri" w:eastAsiaTheme="minorHAnsi" w:hAnsi="Calibri"/>
          <w:b/>
          <w:bCs/>
          <w:sz w:val="24"/>
          <w:szCs w:val="24"/>
        </w:rPr>
      </w:pPr>
    </w:p>
    <w:p w14:paraId="349C39A6" w14:textId="77777777" w:rsidR="00097DBB" w:rsidRPr="00F72ED4" w:rsidRDefault="00294422" w:rsidP="00A12ABB">
      <w:pPr>
        <w:adjustRightInd w:val="0"/>
        <w:snapToGrid w:val="0"/>
        <w:spacing w:beforeLines="50" w:before="156" w:afterLines="50" w:after="156"/>
        <w:rPr>
          <w:rFonts w:ascii="Calibri" w:eastAsiaTheme="minorHAnsi" w:hAnsi="Calibri"/>
          <w:b/>
          <w:bCs/>
          <w:sz w:val="24"/>
          <w:szCs w:val="24"/>
        </w:rPr>
      </w:pPr>
      <w:r w:rsidRPr="00F72ED4">
        <w:rPr>
          <w:rFonts w:ascii="Calibri" w:eastAsiaTheme="minorHAnsi" w:hAnsi="Calibri"/>
          <w:b/>
          <w:bCs/>
          <w:sz w:val="24"/>
          <w:szCs w:val="24"/>
        </w:rPr>
        <w:t>Indicative Cases</w:t>
      </w:r>
    </w:p>
    <w:p w14:paraId="13355EA5" w14:textId="6A0272D4" w:rsidR="00884779" w:rsidRPr="00F72ED4" w:rsidRDefault="00884779" w:rsidP="00A12ABB">
      <w:pPr>
        <w:adjustRightInd w:val="0"/>
        <w:snapToGrid w:val="0"/>
        <w:spacing w:beforeLines="50" w:before="156" w:afterLines="50" w:after="156"/>
        <w:ind w:firstLineChars="200" w:firstLine="480"/>
        <w:rPr>
          <w:rFonts w:ascii="Calibri" w:eastAsiaTheme="minorHAnsi" w:hAnsi="Calibri" w:cs="Times New Roman"/>
          <w:sz w:val="24"/>
          <w:szCs w:val="24"/>
        </w:rPr>
      </w:pPr>
      <w:bookmarkStart w:id="40" w:name="_Hlk209990856"/>
      <w:r w:rsidRPr="00F72ED4">
        <w:rPr>
          <w:rFonts w:ascii="Calibri" w:eastAsiaTheme="minorHAnsi" w:hAnsi="Calibri" w:cs="Times New Roman"/>
          <w:sz w:val="24"/>
          <w:szCs w:val="24"/>
        </w:rPr>
        <w:t xml:space="preserve">Panel Report, </w:t>
      </w:r>
      <w:r w:rsidRPr="00F72ED4">
        <w:rPr>
          <w:rFonts w:ascii="Calibri" w:eastAsiaTheme="minorHAnsi" w:hAnsi="Calibri" w:cs="Times New Roman"/>
          <w:i/>
          <w:iCs/>
          <w:sz w:val="24"/>
          <w:szCs w:val="24"/>
        </w:rPr>
        <w:t>China –</w:t>
      </w:r>
      <w:r w:rsidR="00F21156">
        <w:rPr>
          <w:rFonts w:ascii="Calibri" w:eastAsiaTheme="minorHAnsi" w:hAnsi="Calibri" w:cs="Times New Roman"/>
          <w:i/>
          <w:iCs/>
          <w:sz w:val="24"/>
          <w:szCs w:val="24"/>
        </w:rPr>
        <w:t xml:space="preserve"> Enforcement </w:t>
      </w:r>
      <w:r w:rsidR="00F21156">
        <w:rPr>
          <w:rFonts w:ascii="Calibri" w:eastAsiaTheme="minorHAnsi" w:hAnsi="Calibri" w:cs="Times New Roman" w:hint="eastAsia"/>
          <w:i/>
          <w:iCs/>
          <w:sz w:val="24"/>
          <w:szCs w:val="24"/>
        </w:rPr>
        <w:t>o</w:t>
      </w:r>
      <w:r w:rsidRPr="00F72ED4">
        <w:rPr>
          <w:rFonts w:ascii="Calibri" w:eastAsiaTheme="minorHAnsi" w:hAnsi="Calibri" w:cs="Times New Roman"/>
          <w:i/>
          <w:iCs/>
          <w:sz w:val="24"/>
          <w:szCs w:val="24"/>
        </w:rPr>
        <w:t>f Intellectual Property Rights</w:t>
      </w:r>
      <w:r w:rsidRPr="00F72ED4">
        <w:rPr>
          <w:rFonts w:ascii="Calibri" w:eastAsiaTheme="minorHAnsi" w:hAnsi="Calibri"/>
        </w:rPr>
        <w:t xml:space="preserve"> </w:t>
      </w:r>
      <w:r w:rsidRPr="00F72ED4">
        <w:rPr>
          <w:rFonts w:ascii="Calibri" w:eastAsiaTheme="minorHAnsi" w:hAnsi="Calibri" w:cs="Times New Roman"/>
          <w:i/>
          <w:iCs/>
          <w:sz w:val="24"/>
          <w:szCs w:val="24"/>
        </w:rPr>
        <w:t>(WT/DS611/FR)</w:t>
      </w:r>
      <w:r w:rsidRPr="00F72ED4">
        <w:rPr>
          <w:rFonts w:ascii="Calibri" w:eastAsiaTheme="minorHAnsi" w:hAnsi="Calibri" w:cs="Times New Roman"/>
          <w:sz w:val="24"/>
          <w:szCs w:val="24"/>
        </w:rPr>
        <w:t>, as attached</w:t>
      </w:r>
      <w:r w:rsidR="009A00C9">
        <w:rPr>
          <w:rFonts w:ascii="Calibri" w:eastAsiaTheme="minorHAnsi" w:hAnsi="Calibri" w:cs="Times New Roman"/>
          <w:sz w:val="24"/>
          <w:szCs w:val="24"/>
        </w:rPr>
        <w:t xml:space="preserve"> </w:t>
      </w:r>
      <w:r w:rsidR="009A00C9">
        <w:rPr>
          <w:rFonts w:ascii="Calibri" w:eastAsiaTheme="minorHAnsi" w:hAnsi="Calibri" w:cs="Times New Roman" w:hint="eastAsia"/>
          <w:sz w:val="24"/>
          <w:szCs w:val="24"/>
        </w:rPr>
        <w:t>to</w:t>
      </w:r>
      <w:r w:rsidR="00184E32">
        <w:rPr>
          <w:rFonts w:ascii="Calibri" w:eastAsiaTheme="minorHAnsi" w:hAnsi="Calibri" w:cs="Times New Roman" w:hint="eastAsia"/>
          <w:sz w:val="24"/>
          <w:szCs w:val="24"/>
        </w:rPr>
        <w:t xml:space="preserve"> the</w:t>
      </w:r>
      <w:r w:rsidRPr="00F72ED4">
        <w:rPr>
          <w:rFonts w:ascii="Calibri" w:eastAsiaTheme="minorHAnsi" w:hAnsi="Calibri" w:cs="Times New Roman"/>
          <w:sz w:val="24"/>
          <w:szCs w:val="24"/>
        </w:rPr>
        <w:t xml:space="preserve"> Notification of an Appeal by the European Union under Article 25 of the Understanding on Rules and Procedures Governing the Settlement of Disputes ("DSU"), Paragraph 5 </w:t>
      </w:r>
      <w:r w:rsidR="00AE07F5">
        <w:rPr>
          <w:rFonts w:ascii="Calibri" w:eastAsiaTheme="minorHAnsi" w:hAnsi="Calibri" w:cs="Times New Roman" w:hint="eastAsia"/>
          <w:sz w:val="24"/>
          <w:szCs w:val="24"/>
        </w:rPr>
        <w:t>o</w:t>
      </w:r>
      <w:bookmarkStart w:id="41" w:name="_GoBack"/>
      <w:bookmarkEnd w:id="41"/>
      <w:r w:rsidRPr="00F72ED4">
        <w:rPr>
          <w:rFonts w:ascii="Calibri" w:eastAsiaTheme="minorHAnsi" w:hAnsi="Calibri" w:cs="Times New Roman"/>
          <w:sz w:val="24"/>
          <w:szCs w:val="24"/>
        </w:rPr>
        <w:t>f The Agreed Procedures for Arbitration under Article 25 of the DSU, WT/DS611/11, 24 April 2025</w:t>
      </w:r>
    </w:p>
    <w:bookmarkEnd w:id="40"/>
    <w:p w14:paraId="700EBE59" w14:textId="6BE474D1" w:rsidR="009C2264" w:rsidRPr="00F72ED4" w:rsidRDefault="00766E31" w:rsidP="00A12ABB">
      <w:pPr>
        <w:adjustRightInd w:val="0"/>
        <w:snapToGrid w:val="0"/>
        <w:spacing w:beforeLines="50" w:before="156" w:afterLines="50" w:after="156"/>
        <w:ind w:firstLineChars="200" w:firstLine="480"/>
        <w:rPr>
          <w:rFonts w:ascii="Calibri" w:eastAsiaTheme="minorHAnsi" w:hAnsi="Calibri" w:cs="Times New Roman"/>
          <w:sz w:val="24"/>
          <w:szCs w:val="24"/>
        </w:rPr>
      </w:pPr>
      <w:r w:rsidRPr="00F72ED4">
        <w:rPr>
          <w:rFonts w:ascii="Calibri" w:eastAsiaTheme="minorHAnsi" w:hAnsi="Calibri" w:cs="Times New Roman"/>
          <w:sz w:val="24"/>
          <w:szCs w:val="24"/>
        </w:rPr>
        <w:t>Award of the Arbitrators</w:t>
      </w:r>
      <w:r w:rsidR="009C2264" w:rsidRPr="00F72ED4">
        <w:rPr>
          <w:rFonts w:ascii="Calibri" w:eastAsiaTheme="minorHAnsi" w:hAnsi="Calibri" w:cs="Times New Roman"/>
          <w:sz w:val="24"/>
          <w:szCs w:val="24"/>
        </w:rPr>
        <w:t xml:space="preserve">, </w:t>
      </w:r>
      <w:r w:rsidRPr="00F72ED4">
        <w:rPr>
          <w:rFonts w:ascii="Calibri" w:eastAsiaTheme="minorHAnsi" w:hAnsi="Calibri" w:cs="Times New Roman"/>
          <w:i/>
          <w:iCs/>
          <w:sz w:val="24"/>
          <w:szCs w:val="24"/>
        </w:rPr>
        <w:t>China - Enforcement of Intellectual Property Rights - Arbitration under article 25 of the DSU</w:t>
      </w:r>
      <w:r w:rsidR="009C2264" w:rsidRPr="00F72ED4">
        <w:rPr>
          <w:rFonts w:ascii="Calibri" w:eastAsiaTheme="minorHAnsi" w:hAnsi="Calibri" w:cs="Times New Roman"/>
          <w:sz w:val="24"/>
          <w:szCs w:val="24"/>
        </w:rPr>
        <w:t xml:space="preserve">, </w:t>
      </w:r>
      <w:r w:rsidR="001E7C00" w:rsidRPr="00F72ED4">
        <w:rPr>
          <w:rFonts w:ascii="Calibri" w:eastAsiaTheme="minorHAnsi" w:hAnsi="Calibri" w:cs="Times New Roman"/>
          <w:sz w:val="24"/>
          <w:szCs w:val="24"/>
        </w:rPr>
        <w:t>WT/DS611/ARB25</w:t>
      </w:r>
      <w:r w:rsidR="009C2264" w:rsidRPr="00F72ED4">
        <w:rPr>
          <w:rFonts w:ascii="Calibri" w:eastAsiaTheme="minorHAnsi" w:hAnsi="Calibri" w:cs="Times New Roman"/>
          <w:sz w:val="24"/>
          <w:szCs w:val="24"/>
        </w:rPr>
        <w:t xml:space="preserve">, </w:t>
      </w:r>
      <w:proofErr w:type="gramStart"/>
      <w:r w:rsidR="001E7C00" w:rsidRPr="00F72ED4">
        <w:rPr>
          <w:rFonts w:ascii="Calibri" w:eastAsiaTheme="minorHAnsi" w:hAnsi="Calibri" w:cs="Times New Roman"/>
          <w:sz w:val="24"/>
          <w:szCs w:val="24"/>
        </w:rPr>
        <w:t>21</w:t>
      </w:r>
      <w:proofErr w:type="gramEnd"/>
      <w:r w:rsidR="001E7C00" w:rsidRPr="00F72ED4">
        <w:rPr>
          <w:rFonts w:ascii="Calibri" w:eastAsiaTheme="minorHAnsi" w:hAnsi="Calibri" w:cs="Times New Roman"/>
          <w:sz w:val="24"/>
          <w:szCs w:val="24"/>
        </w:rPr>
        <w:t xml:space="preserve"> July 2025</w:t>
      </w:r>
    </w:p>
    <w:sectPr w:rsidR="009C2264" w:rsidRPr="00F72E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E1C5" w14:textId="77777777" w:rsidR="00FB7486" w:rsidRDefault="00FB7486">
      <w:r>
        <w:separator/>
      </w:r>
    </w:p>
  </w:endnote>
  <w:endnote w:type="continuationSeparator" w:id="0">
    <w:p w14:paraId="31EB46D6" w14:textId="77777777" w:rsidR="00FB7486" w:rsidRDefault="00FB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Times">
    <w:altName w:val="Sylfae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373114"/>
    </w:sdtPr>
    <w:sdtEndPr/>
    <w:sdtContent>
      <w:p w14:paraId="08AC838B" w14:textId="77777777" w:rsidR="00097DBB" w:rsidRDefault="00294422">
        <w:pPr>
          <w:pStyle w:val="a4"/>
          <w:jc w:val="center"/>
        </w:pPr>
        <w:r>
          <w:fldChar w:fldCharType="begin"/>
        </w:r>
        <w:r>
          <w:instrText>PAGE   \* MERGEFORMAT</w:instrText>
        </w:r>
        <w:r>
          <w:fldChar w:fldCharType="separate"/>
        </w:r>
        <w:r w:rsidR="00AE07F5" w:rsidRPr="00AE07F5">
          <w:rPr>
            <w:noProof/>
            <w:lang w:val="zh-CN"/>
          </w:rPr>
          <w:t>9</w:t>
        </w:r>
        <w:r>
          <w:fldChar w:fldCharType="end"/>
        </w:r>
      </w:p>
    </w:sdtContent>
  </w:sdt>
  <w:p w14:paraId="090055C6" w14:textId="77777777" w:rsidR="00097DBB" w:rsidRDefault="00097D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568E" w14:textId="77777777" w:rsidR="00FB7486" w:rsidRDefault="00FB7486">
      <w:r>
        <w:separator/>
      </w:r>
    </w:p>
  </w:footnote>
  <w:footnote w:type="continuationSeparator" w:id="0">
    <w:p w14:paraId="681C872A" w14:textId="77777777" w:rsidR="00FB7486" w:rsidRDefault="00FB7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23834"/>
    <w:multiLevelType w:val="multilevel"/>
    <w:tmpl w:val="51C23834"/>
    <w:lvl w:ilvl="0">
      <w:start w:val="1"/>
      <w:numFmt w:val="decimal"/>
      <w:lvlText w:val="%1."/>
      <w:lvlJc w:val="left"/>
      <w:pPr>
        <w:ind w:left="440" w:hanging="440"/>
      </w:pPr>
    </w:lvl>
    <w:lvl w:ilvl="1">
      <w:start w:val="1"/>
      <w:numFmt w:val="lowerLetter"/>
      <w:lvlText w:val="%2)"/>
      <w:lvlJc w:val="left"/>
      <w:pPr>
        <w:ind w:left="880" w:hanging="440"/>
      </w:pPr>
    </w:lvl>
    <w:lvl w:ilvl="2">
      <w:numFmt w:val="bullet"/>
      <w:lvlText w:val="-"/>
      <w:lvlJc w:val="left"/>
      <w:pPr>
        <w:ind w:left="1240" w:hanging="360"/>
      </w:pPr>
      <w:rPr>
        <w:rFonts w:ascii="等线" w:eastAsia="等线" w:hAnsi="等线" w:cstheme="minorBidi" w:hint="eastAsia"/>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69983873"/>
    <w:multiLevelType w:val="multilevel"/>
    <w:tmpl w:val="69983873"/>
    <w:lvl w:ilvl="0">
      <w:numFmt w:val="bullet"/>
      <w:lvlText w:val="-"/>
      <w:lvlJc w:val="left"/>
      <w:pPr>
        <w:ind w:left="1280" w:hanging="440"/>
      </w:pPr>
      <w:rPr>
        <w:rFonts w:ascii="等线" w:eastAsia="等线" w:hAnsi="等线" w:cstheme="minorBidi" w:hint="eastAsia"/>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EB"/>
    <w:rsid w:val="00000F64"/>
    <w:rsid w:val="00007523"/>
    <w:rsid w:val="00007FA6"/>
    <w:rsid w:val="00010141"/>
    <w:rsid w:val="000116D4"/>
    <w:rsid w:val="00017D44"/>
    <w:rsid w:val="000200D5"/>
    <w:rsid w:val="0002092F"/>
    <w:rsid w:val="000222E7"/>
    <w:rsid w:val="0002233F"/>
    <w:rsid w:val="00023945"/>
    <w:rsid w:val="00030345"/>
    <w:rsid w:val="00030D48"/>
    <w:rsid w:val="00030F66"/>
    <w:rsid w:val="00031BD0"/>
    <w:rsid w:val="00037BFE"/>
    <w:rsid w:val="00042A4C"/>
    <w:rsid w:val="00044641"/>
    <w:rsid w:val="00047419"/>
    <w:rsid w:val="00060102"/>
    <w:rsid w:val="00072DB6"/>
    <w:rsid w:val="00080DD0"/>
    <w:rsid w:val="00083238"/>
    <w:rsid w:val="000847BE"/>
    <w:rsid w:val="00084ECF"/>
    <w:rsid w:val="00086C1D"/>
    <w:rsid w:val="00090D5C"/>
    <w:rsid w:val="00091171"/>
    <w:rsid w:val="000971F8"/>
    <w:rsid w:val="00097DBB"/>
    <w:rsid w:val="000A0F12"/>
    <w:rsid w:val="000A104B"/>
    <w:rsid w:val="000A5EC9"/>
    <w:rsid w:val="000B493D"/>
    <w:rsid w:val="000B66F8"/>
    <w:rsid w:val="000B7CFE"/>
    <w:rsid w:val="000C20DB"/>
    <w:rsid w:val="000C3C63"/>
    <w:rsid w:val="000C4E4D"/>
    <w:rsid w:val="000D25A5"/>
    <w:rsid w:val="000D28A1"/>
    <w:rsid w:val="000F212A"/>
    <w:rsid w:val="000F375E"/>
    <w:rsid w:val="000F38B6"/>
    <w:rsid w:val="000F4E0D"/>
    <w:rsid w:val="000F700E"/>
    <w:rsid w:val="000F7223"/>
    <w:rsid w:val="00101D86"/>
    <w:rsid w:val="00102F12"/>
    <w:rsid w:val="00103584"/>
    <w:rsid w:val="00103C74"/>
    <w:rsid w:val="0010763F"/>
    <w:rsid w:val="00110306"/>
    <w:rsid w:val="00112363"/>
    <w:rsid w:val="00114C26"/>
    <w:rsid w:val="001364F2"/>
    <w:rsid w:val="00136E44"/>
    <w:rsid w:val="00144DB7"/>
    <w:rsid w:val="00147CFD"/>
    <w:rsid w:val="00152695"/>
    <w:rsid w:val="00155853"/>
    <w:rsid w:val="00156221"/>
    <w:rsid w:val="0015759A"/>
    <w:rsid w:val="001613B1"/>
    <w:rsid w:val="00162F19"/>
    <w:rsid w:val="001638F2"/>
    <w:rsid w:val="001659BA"/>
    <w:rsid w:val="00165DC6"/>
    <w:rsid w:val="00167C1F"/>
    <w:rsid w:val="00167CFF"/>
    <w:rsid w:val="001712AC"/>
    <w:rsid w:val="00171488"/>
    <w:rsid w:val="00171722"/>
    <w:rsid w:val="0017226A"/>
    <w:rsid w:val="001729A0"/>
    <w:rsid w:val="001752A8"/>
    <w:rsid w:val="00180119"/>
    <w:rsid w:val="001812AE"/>
    <w:rsid w:val="001827F5"/>
    <w:rsid w:val="00182E18"/>
    <w:rsid w:val="00184284"/>
    <w:rsid w:val="00184E32"/>
    <w:rsid w:val="0018756F"/>
    <w:rsid w:val="00190E2D"/>
    <w:rsid w:val="001921F2"/>
    <w:rsid w:val="001A1B00"/>
    <w:rsid w:val="001A563E"/>
    <w:rsid w:val="001A58F1"/>
    <w:rsid w:val="001A62BB"/>
    <w:rsid w:val="001A6A2F"/>
    <w:rsid w:val="001B0572"/>
    <w:rsid w:val="001B0D97"/>
    <w:rsid w:val="001B4285"/>
    <w:rsid w:val="001B4B96"/>
    <w:rsid w:val="001B57D9"/>
    <w:rsid w:val="001B79D2"/>
    <w:rsid w:val="001C2B91"/>
    <w:rsid w:val="001C625A"/>
    <w:rsid w:val="001D249B"/>
    <w:rsid w:val="001D3863"/>
    <w:rsid w:val="001D79BD"/>
    <w:rsid w:val="001E1322"/>
    <w:rsid w:val="001E2679"/>
    <w:rsid w:val="001E3CE8"/>
    <w:rsid w:val="001E4D38"/>
    <w:rsid w:val="001E7C00"/>
    <w:rsid w:val="001F15B1"/>
    <w:rsid w:val="001F2CDC"/>
    <w:rsid w:val="001F3848"/>
    <w:rsid w:val="001F4E84"/>
    <w:rsid w:val="001F68B6"/>
    <w:rsid w:val="001F7885"/>
    <w:rsid w:val="00200245"/>
    <w:rsid w:val="00205A69"/>
    <w:rsid w:val="002073BD"/>
    <w:rsid w:val="00210D1F"/>
    <w:rsid w:val="002116AF"/>
    <w:rsid w:val="00214367"/>
    <w:rsid w:val="00215282"/>
    <w:rsid w:val="00220D0E"/>
    <w:rsid w:val="00221040"/>
    <w:rsid w:val="00222333"/>
    <w:rsid w:val="002229BD"/>
    <w:rsid w:val="00224DF8"/>
    <w:rsid w:val="00226F18"/>
    <w:rsid w:val="00232912"/>
    <w:rsid w:val="0024060F"/>
    <w:rsid w:val="00241FE4"/>
    <w:rsid w:val="002442F1"/>
    <w:rsid w:val="002455B0"/>
    <w:rsid w:val="0024664C"/>
    <w:rsid w:val="002469AF"/>
    <w:rsid w:val="00247344"/>
    <w:rsid w:val="0025235B"/>
    <w:rsid w:val="00255D83"/>
    <w:rsid w:val="00264B28"/>
    <w:rsid w:val="002669D3"/>
    <w:rsid w:val="002734ED"/>
    <w:rsid w:val="0027569D"/>
    <w:rsid w:val="00276DA2"/>
    <w:rsid w:val="00283A28"/>
    <w:rsid w:val="00287EA7"/>
    <w:rsid w:val="00293647"/>
    <w:rsid w:val="00294422"/>
    <w:rsid w:val="0029478A"/>
    <w:rsid w:val="00295297"/>
    <w:rsid w:val="00295BBE"/>
    <w:rsid w:val="00296799"/>
    <w:rsid w:val="00297C85"/>
    <w:rsid w:val="002A4E1F"/>
    <w:rsid w:val="002B0643"/>
    <w:rsid w:val="002B094A"/>
    <w:rsid w:val="002B0D0B"/>
    <w:rsid w:val="002B538C"/>
    <w:rsid w:val="002C1B23"/>
    <w:rsid w:val="002C6766"/>
    <w:rsid w:val="002C6A32"/>
    <w:rsid w:val="002D0705"/>
    <w:rsid w:val="002D203E"/>
    <w:rsid w:val="002D5CC8"/>
    <w:rsid w:val="002D7190"/>
    <w:rsid w:val="002E6AB6"/>
    <w:rsid w:val="002E7F02"/>
    <w:rsid w:val="002F035D"/>
    <w:rsid w:val="002F0B4B"/>
    <w:rsid w:val="002F372F"/>
    <w:rsid w:val="002F4663"/>
    <w:rsid w:val="002F4A4D"/>
    <w:rsid w:val="002F59A6"/>
    <w:rsid w:val="00300011"/>
    <w:rsid w:val="00312BB9"/>
    <w:rsid w:val="00312D61"/>
    <w:rsid w:val="00313116"/>
    <w:rsid w:val="0032123C"/>
    <w:rsid w:val="00321CBB"/>
    <w:rsid w:val="00322064"/>
    <w:rsid w:val="00323E2C"/>
    <w:rsid w:val="00324A3C"/>
    <w:rsid w:val="00326067"/>
    <w:rsid w:val="003305BD"/>
    <w:rsid w:val="0034192E"/>
    <w:rsid w:val="003426F1"/>
    <w:rsid w:val="00342979"/>
    <w:rsid w:val="00350287"/>
    <w:rsid w:val="00354F9C"/>
    <w:rsid w:val="003550D5"/>
    <w:rsid w:val="003568A8"/>
    <w:rsid w:val="00357357"/>
    <w:rsid w:val="00361024"/>
    <w:rsid w:val="00363323"/>
    <w:rsid w:val="003652BA"/>
    <w:rsid w:val="00365A5F"/>
    <w:rsid w:val="00366B4C"/>
    <w:rsid w:val="00367D81"/>
    <w:rsid w:val="003700A4"/>
    <w:rsid w:val="00376003"/>
    <w:rsid w:val="00382337"/>
    <w:rsid w:val="003828FA"/>
    <w:rsid w:val="00387066"/>
    <w:rsid w:val="00387F89"/>
    <w:rsid w:val="00393F28"/>
    <w:rsid w:val="0039622E"/>
    <w:rsid w:val="0039783A"/>
    <w:rsid w:val="003A2A66"/>
    <w:rsid w:val="003A3E70"/>
    <w:rsid w:val="003A5F79"/>
    <w:rsid w:val="003B2261"/>
    <w:rsid w:val="003B2D64"/>
    <w:rsid w:val="003B4B0A"/>
    <w:rsid w:val="003B72E1"/>
    <w:rsid w:val="003C513B"/>
    <w:rsid w:val="003C56E6"/>
    <w:rsid w:val="003C5E37"/>
    <w:rsid w:val="003C5FDE"/>
    <w:rsid w:val="003C6375"/>
    <w:rsid w:val="003D0B63"/>
    <w:rsid w:val="003D1EFB"/>
    <w:rsid w:val="003D3314"/>
    <w:rsid w:val="003D3E57"/>
    <w:rsid w:val="003D7051"/>
    <w:rsid w:val="003D75BA"/>
    <w:rsid w:val="003D7B4D"/>
    <w:rsid w:val="003E4F5F"/>
    <w:rsid w:val="003F1B04"/>
    <w:rsid w:val="003F20B5"/>
    <w:rsid w:val="003F2105"/>
    <w:rsid w:val="003F437C"/>
    <w:rsid w:val="003F57EC"/>
    <w:rsid w:val="003F6644"/>
    <w:rsid w:val="003F709E"/>
    <w:rsid w:val="00400F7A"/>
    <w:rsid w:val="00406DB9"/>
    <w:rsid w:val="00410364"/>
    <w:rsid w:val="004124F7"/>
    <w:rsid w:val="0041273A"/>
    <w:rsid w:val="00413E26"/>
    <w:rsid w:val="00420115"/>
    <w:rsid w:val="00421D8C"/>
    <w:rsid w:val="00421F63"/>
    <w:rsid w:val="00424692"/>
    <w:rsid w:val="0042502D"/>
    <w:rsid w:val="00430FAD"/>
    <w:rsid w:val="00433854"/>
    <w:rsid w:val="00433976"/>
    <w:rsid w:val="00435512"/>
    <w:rsid w:val="00440F12"/>
    <w:rsid w:val="00442D86"/>
    <w:rsid w:val="00443EC9"/>
    <w:rsid w:val="00444072"/>
    <w:rsid w:val="004452AB"/>
    <w:rsid w:val="004514EC"/>
    <w:rsid w:val="00453304"/>
    <w:rsid w:val="00464E46"/>
    <w:rsid w:val="00472624"/>
    <w:rsid w:val="00473EDD"/>
    <w:rsid w:val="00482E89"/>
    <w:rsid w:val="00484192"/>
    <w:rsid w:val="00490F5F"/>
    <w:rsid w:val="00494F15"/>
    <w:rsid w:val="0049783E"/>
    <w:rsid w:val="004A17EF"/>
    <w:rsid w:val="004A1DDA"/>
    <w:rsid w:val="004A2331"/>
    <w:rsid w:val="004A34B7"/>
    <w:rsid w:val="004A5B4D"/>
    <w:rsid w:val="004B093A"/>
    <w:rsid w:val="004B3CF8"/>
    <w:rsid w:val="004B3F8C"/>
    <w:rsid w:val="004C1BB4"/>
    <w:rsid w:val="004C1EE3"/>
    <w:rsid w:val="004C55CE"/>
    <w:rsid w:val="004C7474"/>
    <w:rsid w:val="004D148F"/>
    <w:rsid w:val="004D5346"/>
    <w:rsid w:val="004E20BB"/>
    <w:rsid w:val="004E3372"/>
    <w:rsid w:val="004E6227"/>
    <w:rsid w:val="004E6A58"/>
    <w:rsid w:val="004F3076"/>
    <w:rsid w:val="004F45A8"/>
    <w:rsid w:val="004F56E2"/>
    <w:rsid w:val="004F5F3E"/>
    <w:rsid w:val="004F611E"/>
    <w:rsid w:val="0050254C"/>
    <w:rsid w:val="00506A48"/>
    <w:rsid w:val="005147EB"/>
    <w:rsid w:val="005156AF"/>
    <w:rsid w:val="00520408"/>
    <w:rsid w:val="005207C3"/>
    <w:rsid w:val="00521430"/>
    <w:rsid w:val="005246F2"/>
    <w:rsid w:val="00527B94"/>
    <w:rsid w:val="00533254"/>
    <w:rsid w:val="0053676B"/>
    <w:rsid w:val="0054211B"/>
    <w:rsid w:val="00542683"/>
    <w:rsid w:val="005434FB"/>
    <w:rsid w:val="0054452D"/>
    <w:rsid w:val="00544BBC"/>
    <w:rsid w:val="00545F45"/>
    <w:rsid w:val="0054746A"/>
    <w:rsid w:val="005503D7"/>
    <w:rsid w:val="00554068"/>
    <w:rsid w:val="00555ADF"/>
    <w:rsid w:val="00555D8F"/>
    <w:rsid w:val="0055625C"/>
    <w:rsid w:val="00556C8D"/>
    <w:rsid w:val="005618DD"/>
    <w:rsid w:val="005732E3"/>
    <w:rsid w:val="00576C08"/>
    <w:rsid w:val="005868ED"/>
    <w:rsid w:val="00591DC4"/>
    <w:rsid w:val="005926D2"/>
    <w:rsid w:val="00594BB6"/>
    <w:rsid w:val="00596F88"/>
    <w:rsid w:val="005A09DD"/>
    <w:rsid w:val="005A0D11"/>
    <w:rsid w:val="005A341E"/>
    <w:rsid w:val="005A7C3F"/>
    <w:rsid w:val="005B3B9D"/>
    <w:rsid w:val="005B59F8"/>
    <w:rsid w:val="005B5F33"/>
    <w:rsid w:val="005B6534"/>
    <w:rsid w:val="005C3940"/>
    <w:rsid w:val="005C42FD"/>
    <w:rsid w:val="005C518A"/>
    <w:rsid w:val="005C5468"/>
    <w:rsid w:val="005D1B6D"/>
    <w:rsid w:val="005D3B17"/>
    <w:rsid w:val="005D685B"/>
    <w:rsid w:val="005D6E13"/>
    <w:rsid w:val="005D7B06"/>
    <w:rsid w:val="005E05DF"/>
    <w:rsid w:val="005F6F52"/>
    <w:rsid w:val="005F7B6E"/>
    <w:rsid w:val="006004A9"/>
    <w:rsid w:val="00600BE3"/>
    <w:rsid w:val="0060502F"/>
    <w:rsid w:val="00611F33"/>
    <w:rsid w:val="00612392"/>
    <w:rsid w:val="00613BC6"/>
    <w:rsid w:val="00617167"/>
    <w:rsid w:val="00621FB4"/>
    <w:rsid w:val="00622262"/>
    <w:rsid w:val="006246AA"/>
    <w:rsid w:val="006263CA"/>
    <w:rsid w:val="006270F3"/>
    <w:rsid w:val="00630B19"/>
    <w:rsid w:val="00630FAB"/>
    <w:rsid w:val="00644219"/>
    <w:rsid w:val="00644519"/>
    <w:rsid w:val="00644855"/>
    <w:rsid w:val="00645418"/>
    <w:rsid w:val="00646D19"/>
    <w:rsid w:val="00651491"/>
    <w:rsid w:val="00653A39"/>
    <w:rsid w:val="0065547E"/>
    <w:rsid w:val="00656352"/>
    <w:rsid w:val="00656ABA"/>
    <w:rsid w:val="00656C16"/>
    <w:rsid w:val="00657334"/>
    <w:rsid w:val="00661539"/>
    <w:rsid w:val="00663B44"/>
    <w:rsid w:val="00663D52"/>
    <w:rsid w:val="00667C3B"/>
    <w:rsid w:val="00667F81"/>
    <w:rsid w:val="00671A60"/>
    <w:rsid w:val="00672374"/>
    <w:rsid w:val="00672D9B"/>
    <w:rsid w:val="00677892"/>
    <w:rsid w:val="00680A2E"/>
    <w:rsid w:val="00682882"/>
    <w:rsid w:val="00683ACD"/>
    <w:rsid w:val="00684B4C"/>
    <w:rsid w:val="0069401E"/>
    <w:rsid w:val="00694697"/>
    <w:rsid w:val="006A0736"/>
    <w:rsid w:val="006A148A"/>
    <w:rsid w:val="006A2636"/>
    <w:rsid w:val="006A566B"/>
    <w:rsid w:val="006A581C"/>
    <w:rsid w:val="006B1DA3"/>
    <w:rsid w:val="006B416C"/>
    <w:rsid w:val="006C4FBA"/>
    <w:rsid w:val="006D0589"/>
    <w:rsid w:val="006D211E"/>
    <w:rsid w:val="006D349F"/>
    <w:rsid w:val="006D363A"/>
    <w:rsid w:val="006D756C"/>
    <w:rsid w:val="006E1DD2"/>
    <w:rsid w:val="006E2B69"/>
    <w:rsid w:val="006E32ED"/>
    <w:rsid w:val="006E7E94"/>
    <w:rsid w:val="006F15BD"/>
    <w:rsid w:val="006F5001"/>
    <w:rsid w:val="007047E9"/>
    <w:rsid w:val="0070620F"/>
    <w:rsid w:val="00706FE5"/>
    <w:rsid w:val="00711DD1"/>
    <w:rsid w:val="007120ED"/>
    <w:rsid w:val="00712D47"/>
    <w:rsid w:val="007142DD"/>
    <w:rsid w:val="007143E9"/>
    <w:rsid w:val="0072360C"/>
    <w:rsid w:val="00727D81"/>
    <w:rsid w:val="007301B8"/>
    <w:rsid w:val="00740A39"/>
    <w:rsid w:val="00742BA8"/>
    <w:rsid w:val="00750A25"/>
    <w:rsid w:val="00751D96"/>
    <w:rsid w:val="00751DC2"/>
    <w:rsid w:val="007528B3"/>
    <w:rsid w:val="00756D83"/>
    <w:rsid w:val="00760660"/>
    <w:rsid w:val="00763B5E"/>
    <w:rsid w:val="007649FB"/>
    <w:rsid w:val="00766C54"/>
    <w:rsid w:val="00766E31"/>
    <w:rsid w:val="007679BE"/>
    <w:rsid w:val="0077044C"/>
    <w:rsid w:val="007707B8"/>
    <w:rsid w:val="00772C56"/>
    <w:rsid w:val="00772D12"/>
    <w:rsid w:val="007765CE"/>
    <w:rsid w:val="0078034E"/>
    <w:rsid w:val="0078122F"/>
    <w:rsid w:val="00781989"/>
    <w:rsid w:val="00784C14"/>
    <w:rsid w:val="00784EEA"/>
    <w:rsid w:val="00785809"/>
    <w:rsid w:val="00787579"/>
    <w:rsid w:val="0079162C"/>
    <w:rsid w:val="007940DF"/>
    <w:rsid w:val="00794324"/>
    <w:rsid w:val="00796FF5"/>
    <w:rsid w:val="007971F3"/>
    <w:rsid w:val="007A21D2"/>
    <w:rsid w:val="007A2816"/>
    <w:rsid w:val="007A35BC"/>
    <w:rsid w:val="007B00B5"/>
    <w:rsid w:val="007B0EA7"/>
    <w:rsid w:val="007B1346"/>
    <w:rsid w:val="007B3CA1"/>
    <w:rsid w:val="007B4239"/>
    <w:rsid w:val="007B7E71"/>
    <w:rsid w:val="007C2969"/>
    <w:rsid w:val="007C426F"/>
    <w:rsid w:val="007D24BA"/>
    <w:rsid w:val="007D440A"/>
    <w:rsid w:val="007E25FA"/>
    <w:rsid w:val="007E4D46"/>
    <w:rsid w:val="007E6F87"/>
    <w:rsid w:val="007F0D1D"/>
    <w:rsid w:val="007F1786"/>
    <w:rsid w:val="007F2642"/>
    <w:rsid w:val="00804529"/>
    <w:rsid w:val="00805B27"/>
    <w:rsid w:val="00805B3D"/>
    <w:rsid w:val="0081074D"/>
    <w:rsid w:val="00815110"/>
    <w:rsid w:val="00816C7F"/>
    <w:rsid w:val="00817713"/>
    <w:rsid w:val="0082012D"/>
    <w:rsid w:val="00820806"/>
    <w:rsid w:val="00821D7A"/>
    <w:rsid w:val="00821F59"/>
    <w:rsid w:val="00823B56"/>
    <w:rsid w:val="00824A51"/>
    <w:rsid w:val="008272C6"/>
    <w:rsid w:val="008275AF"/>
    <w:rsid w:val="00831223"/>
    <w:rsid w:val="00833464"/>
    <w:rsid w:val="00834432"/>
    <w:rsid w:val="00835A3D"/>
    <w:rsid w:val="00841048"/>
    <w:rsid w:val="008428D9"/>
    <w:rsid w:val="0084292E"/>
    <w:rsid w:val="00845AFB"/>
    <w:rsid w:val="00845E10"/>
    <w:rsid w:val="00845F21"/>
    <w:rsid w:val="00846B2D"/>
    <w:rsid w:val="00854DE3"/>
    <w:rsid w:val="00854F9E"/>
    <w:rsid w:val="00861818"/>
    <w:rsid w:val="00863B59"/>
    <w:rsid w:val="008654FE"/>
    <w:rsid w:val="0086589B"/>
    <w:rsid w:val="008659C3"/>
    <w:rsid w:val="008676D1"/>
    <w:rsid w:val="00870857"/>
    <w:rsid w:val="008718E4"/>
    <w:rsid w:val="00872777"/>
    <w:rsid w:val="008729AD"/>
    <w:rsid w:val="0087352D"/>
    <w:rsid w:val="00874578"/>
    <w:rsid w:val="00874CF9"/>
    <w:rsid w:val="00875B4D"/>
    <w:rsid w:val="00876315"/>
    <w:rsid w:val="008819D4"/>
    <w:rsid w:val="00882B68"/>
    <w:rsid w:val="0088372C"/>
    <w:rsid w:val="00883BF6"/>
    <w:rsid w:val="00884779"/>
    <w:rsid w:val="00884E86"/>
    <w:rsid w:val="00885F8A"/>
    <w:rsid w:val="008927BD"/>
    <w:rsid w:val="00896310"/>
    <w:rsid w:val="008965DF"/>
    <w:rsid w:val="00897D3A"/>
    <w:rsid w:val="008A0CD9"/>
    <w:rsid w:val="008A1349"/>
    <w:rsid w:val="008A4A31"/>
    <w:rsid w:val="008A6692"/>
    <w:rsid w:val="008B017A"/>
    <w:rsid w:val="008B0D23"/>
    <w:rsid w:val="008B4441"/>
    <w:rsid w:val="008B5516"/>
    <w:rsid w:val="008B633F"/>
    <w:rsid w:val="008C3015"/>
    <w:rsid w:val="008C69F7"/>
    <w:rsid w:val="008D1C13"/>
    <w:rsid w:val="008D4452"/>
    <w:rsid w:val="008D5EC4"/>
    <w:rsid w:val="008D7F08"/>
    <w:rsid w:val="008E155B"/>
    <w:rsid w:val="008E1A1C"/>
    <w:rsid w:val="008E1F2A"/>
    <w:rsid w:val="008E231D"/>
    <w:rsid w:val="008E3262"/>
    <w:rsid w:val="008E5086"/>
    <w:rsid w:val="008E5DDB"/>
    <w:rsid w:val="008F0E5E"/>
    <w:rsid w:val="008F26DA"/>
    <w:rsid w:val="008F3632"/>
    <w:rsid w:val="008F3AF8"/>
    <w:rsid w:val="008F4A18"/>
    <w:rsid w:val="008F603F"/>
    <w:rsid w:val="008F72A8"/>
    <w:rsid w:val="0090238E"/>
    <w:rsid w:val="00902DDD"/>
    <w:rsid w:val="009039F6"/>
    <w:rsid w:val="00903C24"/>
    <w:rsid w:val="0090537E"/>
    <w:rsid w:val="00905DDC"/>
    <w:rsid w:val="009069D7"/>
    <w:rsid w:val="00907AF6"/>
    <w:rsid w:val="009133AD"/>
    <w:rsid w:val="00914A90"/>
    <w:rsid w:val="009261FA"/>
    <w:rsid w:val="0092688D"/>
    <w:rsid w:val="0093110F"/>
    <w:rsid w:val="009315F8"/>
    <w:rsid w:val="00932165"/>
    <w:rsid w:val="00932BB1"/>
    <w:rsid w:val="009358CA"/>
    <w:rsid w:val="00937442"/>
    <w:rsid w:val="0094126D"/>
    <w:rsid w:val="00942C1A"/>
    <w:rsid w:val="00952CEF"/>
    <w:rsid w:val="0095423D"/>
    <w:rsid w:val="00956E4E"/>
    <w:rsid w:val="00957A92"/>
    <w:rsid w:val="0096647F"/>
    <w:rsid w:val="00966CF4"/>
    <w:rsid w:val="009713E3"/>
    <w:rsid w:val="00971E24"/>
    <w:rsid w:val="009722CF"/>
    <w:rsid w:val="009733BB"/>
    <w:rsid w:val="009739BA"/>
    <w:rsid w:val="00975902"/>
    <w:rsid w:val="0098025D"/>
    <w:rsid w:val="00982633"/>
    <w:rsid w:val="0098264E"/>
    <w:rsid w:val="00983293"/>
    <w:rsid w:val="00983444"/>
    <w:rsid w:val="009907AC"/>
    <w:rsid w:val="00990936"/>
    <w:rsid w:val="00995109"/>
    <w:rsid w:val="009951A1"/>
    <w:rsid w:val="009973E3"/>
    <w:rsid w:val="009A00C9"/>
    <w:rsid w:val="009A0202"/>
    <w:rsid w:val="009A239F"/>
    <w:rsid w:val="009A2410"/>
    <w:rsid w:val="009A34DC"/>
    <w:rsid w:val="009A4CA4"/>
    <w:rsid w:val="009A5EBA"/>
    <w:rsid w:val="009A75A0"/>
    <w:rsid w:val="009B51D7"/>
    <w:rsid w:val="009B72DE"/>
    <w:rsid w:val="009B7614"/>
    <w:rsid w:val="009B7877"/>
    <w:rsid w:val="009C0837"/>
    <w:rsid w:val="009C2264"/>
    <w:rsid w:val="009C40F0"/>
    <w:rsid w:val="009C4912"/>
    <w:rsid w:val="009C6339"/>
    <w:rsid w:val="009D1829"/>
    <w:rsid w:val="009D4560"/>
    <w:rsid w:val="009D495C"/>
    <w:rsid w:val="009D58DF"/>
    <w:rsid w:val="009D7E7D"/>
    <w:rsid w:val="009E2A8E"/>
    <w:rsid w:val="009E6622"/>
    <w:rsid w:val="009F3877"/>
    <w:rsid w:val="009F3C5F"/>
    <w:rsid w:val="009F5EAC"/>
    <w:rsid w:val="009F6F44"/>
    <w:rsid w:val="009F748F"/>
    <w:rsid w:val="00A02903"/>
    <w:rsid w:val="00A07847"/>
    <w:rsid w:val="00A11C50"/>
    <w:rsid w:val="00A12ABB"/>
    <w:rsid w:val="00A169FA"/>
    <w:rsid w:val="00A20890"/>
    <w:rsid w:val="00A213A8"/>
    <w:rsid w:val="00A21D00"/>
    <w:rsid w:val="00A222AF"/>
    <w:rsid w:val="00A22678"/>
    <w:rsid w:val="00A230D3"/>
    <w:rsid w:val="00A24293"/>
    <w:rsid w:val="00A27912"/>
    <w:rsid w:val="00A333B9"/>
    <w:rsid w:val="00A3605A"/>
    <w:rsid w:val="00A365B1"/>
    <w:rsid w:val="00A36956"/>
    <w:rsid w:val="00A44A8B"/>
    <w:rsid w:val="00A4518E"/>
    <w:rsid w:val="00A46F81"/>
    <w:rsid w:val="00A47F4D"/>
    <w:rsid w:val="00A517D6"/>
    <w:rsid w:val="00A551EB"/>
    <w:rsid w:val="00A555C0"/>
    <w:rsid w:val="00A56FBE"/>
    <w:rsid w:val="00A6275D"/>
    <w:rsid w:val="00A64EB1"/>
    <w:rsid w:val="00A66587"/>
    <w:rsid w:val="00A70224"/>
    <w:rsid w:val="00A70519"/>
    <w:rsid w:val="00A7313A"/>
    <w:rsid w:val="00A73879"/>
    <w:rsid w:val="00A75958"/>
    <w:rsid w:val="00A77DB4"/>
    <w:rsid w:val="00A84E8B"/>
    <w:rsid w:val="00A90475"/>
    <w:rsid w:val="00A923E6"/>
    <w:rsid w:val="00A9399E"/>
    <w:rsid w:val="00A9428E"/>
    <w:rsid w:val="00AA08A8"/>
    <w:rsid w:val="00AA0F79"/>
    <w:rsid w:val="00AA1F7C"/>
    <w:rsid w:val="00AA6617"/>
    <w:rsid w:val="00AA6CE3"/>
    <w:rsid w:val="00AB0959"/>
    <w:rsid w:val="00AB1167"/>
    <w:rsid w:val="00AB508C"/>
    <w:rsid w:val="00AB6FA4"/>
    <w:rsid w:val="00AB7C30"/>
    <w:rsid w:val="00AD1E51"/>
    <w:rsid w:val="00AD4638"/>
    <w:rsid w:val="00AD692F"/>
    <w:rsid w:val="00AE001D"/>
    <w:rsid w:val="00AE07F5"/>
    <w:rsid w:val="00AE0CC4"/>
    <w:rsid w:val="00AE6440"/>
    <w:rsid w:val="00AF00E5"/>
    <w:rsid w:val="00AF6709"/>
    <w:rsid w:val="00AF67A7"/>
    <w:rsid w:val="00B02D48"/>
    <w:rsid w:val="00B04D5B"/>
    <w:rsid w:val="00B06531"/>
    <w:rsid w:val="00B1529F"/>
    <w:rsid w:val="00B23995"/>
    <w:rsid w:val="00B30811"/>
    <w:rsid w:val="00B31A96"/>
    <w:rsid w:val="00B33FEB"/>
    <w:rsid w:val="00B352A0"/>
    <w:rsid w:val="00B36022"/>
    <w:rsid w:val="00B36A12"/>
    <w:rsid w:val="00B40C21"/>
    <w:rsid w:val="00B44927"/>
    <w:rsid w:val="00B500D9"/>
    <w:rsid w:val="00B51081"/>
    <w:rsid w:val="00B55E80"/>
    <w:rsid w:val="00B56D6A"/>
    <w:rsid w:val="00B5793D"/>
    <w:rsid w:val="00B61E53"/>
    <w:rsid w:val="00B63760"/>
    <w:rsid w:val="00B650A7"/>
    <w:rsid w:val="00B66CF4"/>
    <w:rsid w:val="00B66EFD"/>
    <w:rsid w:val="00B671FE"/>
    <w:rsid w:val="00B67DB3"/>
    <w:rsid w:val="00B704B4"/>
    <w:rsid w:val="00B705EF"/>
    <w:rsid w:val="00B70F24"/>
    <w:rsid w:val="00B71109"/>
    <w:rsid w:val="00B72A1A"/>
    <w:rsid w:val="00B7330A"/>
    <w:rsid w:val="00B750D5"/>
    <w:rsid w:val="00B762C5"/>
    <w:rsid w:val="00B77896"/>
    <w:rsid w:val="00B82BB9"/>
    <w:rsid w:val="00B839F5"/>
    <w:rsid w:val="00B862CD"/>
    <w:rsid w:val="00B94D95"/>
    <w:rsid w:val="00B976DF"/>
    <w:rsid w:val="00BA084F"/>
    <w:rsid w:val="00BA17F0"/>
    <w:rsid w:val="00BA1E5B"/>
    <w:rsid w:val="00BA32A2"/>
    <w:rsid w:val="00BA46C4"/>
    <w:rsid w:val="00BA4DFE"/>
    <w:rsid w:val="00BA5B6B"/>
    <w:rsid w:val="00BB05A9"/>
    <w:rsid w:val="00BB4DC8"/>
    <w:rsid w:val="00BC310D"/>
    <w:rsid w:val="00BC5BD2"/>
    <w:rsid w:val="00BC6DA7"/>
    <w:rsid w:val="00BD299B"/>
    <w:rsid w:val="00BE1BD4"/>
    <w:rsid w:val="00BE262B"/>
    <w:rsid w:val="00BE2CFB"/>
    <w:rsid w:val="00BE34B8"/>
    <w:rsid w:val="00BF0F7B"/>
    <w:rsid w:val="00BF3220"/>
    <w:rsid w:val="00BF5F00"/>
    <w:rsid w:val="00BF6025"/>
    <w:rsid w:val="00BF622E"/>
    <w:rsid w:val="00C02FFF"/>
    <w:rsid w:val="00C0364B"/>
    <w:rsid w:val="00C04929"/>
    <w:rsid w:val="00C05145"/>
    <w:rsid w:val="00C05D1F"/>
    <w:rsid w:val="00C063B4"/>
    <w:rsid w:val="00C077E0"/>
    <w:rsid w:val="00C12C85"/>
    <w:rsid w:val="00C20187"/>
    <w:rsid w:val="00C207D2"/>
    <w:rsid w:val="00C21293"/>
    <w:rsid w:val="00C25E7B"/>
    <w:rsid w:val="00C32026"/>
    <w:rsid w:val="00C34E58"/>
    <w:rsid w:val="00C43535"/>
    <w:rsid w:val="00C4764C"/>
    <w:rsid w:val="00C50643"/>
    <w:rsid w:val="00C5169D"/>
    <w:rsid w:val="00C51EE0"/>
    <w:rsid w:val="00C5329C"/>
    <w:rsid w:val="00C629EA"/>
    <w:rsid w:val="00C6416F"/>
    <w:rsid w:val="00C64E3E"/>
    <w:rsid w:val="00C66E80"/>
    <w:rsid w:val="00C7386F"/>
    <w:rsid w:val="00C85045"/>
    <w:rsid w:val="00C87621"/>
    <w:rsid w:val="00C90DC8"/>
    <w:rsid w:val="00C913FF"/>
    <w:rsid w:val="00C92821"/>
    <w:rsid w:val="00C940D0"/>
    <w:rsid w:val="00C9719D"/>
    <w:rsid w:val="00CA4135"/>
    <w:rsid w:val="00CA5257"/>
    <w:rsid w:val="00CA6A3F"/>
    <w:rsid w:val="00CA7278"/>
    <w:rsid w:val="00CB16A9"/>
    <w:rsid w:val="00CB34E6"/>
    <w:rsid w:val="00CB4843"/>
    <w:rsid w:val="00CB5768"/>
    <w:rsid w:val="00CB78C2"/>
    <w:rsid w:val="00CC062E"/>
    <w:rsid w:val="00CC387A"/>
    <w:rsid w:val="00CC538D"/>
    <w:rsid w:val="00CD02B1"/>
    <w:rsid w:val="00CD244A"/>
    <w:rsid w:val="00CD629C"/>
    <w:rsid w:val="00CD6799"/>
    <w:rsid w:val="00CD7A9A"/>
    <w:rsid w:val="00CE2274"/>
    <w:rsid w:val="00CE539B"/>
    <w:rsid w:val="00CE56EE"/>
    <w:rsid w:val="00CE6F49"/>
    <w:rsid w:val="00CF5C5D"/>
    <w:rsid w:val="00D010DD"/>
    <w:rsid w:val="00D02C2B"/>
    <w:rsid w:val="00D04FC2"/>
    <w:rsid w:val="00D05307"/>
    <w:rsid w:val="00D10E83"/>
    <w:rsid w:val="00D116B1"/>
    <w:rsid w:val="00D14623"/>
    <w:rsid w:val="00D150F2"/>
    <w:rsid w:val="00D15669"/>
    <w:rsid w:val="00D2193E"/>
    <w:rsid w:val="00D22591"/>
    <w:rsid w:val="00D23967"/>
    <w:rsid w:val="00D321F3"/>
    <w:rsid w:val="00D330A6"/>
    <w:rsid w:val="00D34DDC"/>
    <w:rsid w:val="00D359B6"/>
    <w:rsid w:val="00D376FA"/>
    <w:rsid w:val="00D37834"/>
    <w:rsid w:val="00D37B3B"/>
    <w:rsid w:val="00D37DE4"/>
    <w:rsid w:val="00D37E00"/>
    <w:rsid w:val="00D406C0"/>
    <w:rsid w:val="00D47CE4"/>
    <w:rsid w:val="00D506A8"/>
    <w:rsid w:val="00D507FD"/>
    <w:rsid w:val="00D52FCD"/>
    <w:rsid w:val="00D53CBD"/>
    <w:rsid w:val="00D54272"/>
    <w:rsid w:val="00D54B85"/>
    <w:rsid w:val="00D54D01"/>
    <w:rsid w:val="00D61347"/>
    <w:rsid w:val="00D625DD"/>
    <w:rsid w:val="00D62980"/>
    <w:rsid w:val="00D63C37"/>
    <w:rsid w:val="00D67D92"/>
    <w:rsid w:val="00D70688"/>
    <w:rsid w:val="00D75127"/>
    <w:rsid w:val="00D775B6"/>
    <w:rsid w:val="00D8075D"/>
    <w:rsid w:val="00D85549"/>
    <w:rsid w:val="00D85D2F"/>
    <w:rsid w:val="00D8653A"/>
    <w:rsid w:val="00D87B56"/>
    <w:rsid w:val="00D90C81"/>
    <w:rsid w:val="00D9296C"/>
    <w:rsid w:val="00D92FA2"/>
    <w:rsid w:val="00D96FF6"/>
    <w:rsid w:val="00DA2FB6"/>
    <w:rsid w:val="00DA347B"/>
    <w:rsid w:val="00DA7276"/>
    <w:rsid w:val="00DA7A26"/>
    <w:rsid w:val="00DB1F96"/>
    <w:rsid w:val="00DB41B4"/>
    <w:rsid w:val="00DB730A"/>
    <w:rsid w:val="00DC0B68"/>
    <w:rsid w:val="00DC457D"/>
    <w:rsid w:val="00DC4E08"/>
    <w:rsid w:val="00DD02BF"/>
    <w:rsid w:val="00DD474D"/>
    <w:rsid w:val="00DD5218"/>
    <w:rsid w:val="00DD5A76"/>
    <w:rsid w:val="00DD5A9F"/>
    <w:rsid w:val="00DD667D"/>
    <w:rsid w:val="00DE26C0"/>
    <w:rsid w:val="00DE5B09"/>
    <w:rsid w:val="00DE61FB"/>
    <w:rsid w:val="00DE66F5"/>
    <w:rsid w:val="00DF3A1B"/>
    <w:rsid w:val="00DF6471"/>
    <w:rsid w:val="00E00B1A"/>
    <w:rsid w:val="00E00EFD"/>
    <w:rsid w:val="00E03F84"/>
    <w:rsid w:val="00E042D8"/>
    <w:rsid w:val="00E07453"/>
    <w:rsid w:val="00E10937"/>
    <w:rsid w:val="00E11DEB"/>
    <w:rsid w:val="00E15145"/>
    <w:rsid w:val="00E16EBE"/>
    <w:rsid w:val="00E2139A"/>
    <w:rsid w:val="00E2507A"/>
    <w:rsid w:val="00E2624D"/>
    <w:rsid w:val="00E30169"/>
    <w:rsid w:val="00E3035C"/>
    <w:rsid w:val="00E34155"/>
    <w:rsid w:val="00E349F4"/>
    <w:rsid w:val="00E3791C"/>
    <w:rsid w:val="00E44F7B"/>
    <w:rsid w:val="00E467A6"/>
    <w:rsid w:val="00E508F5"/>
    <w:rsid w:val="00E5377D"/>
    <w:rsid w:val="00E53921"/>
    <w:rsid w:val="00E5434A"/>
    <w:rsid w:val="00E63262"/>
    <w:rsid w:val="00E6356C"/>
    <w:rsid w:val="00E659D3"/>
    <w:rsid w:val="00E72C98"/>
    <w:rsid w:val="00E7374D"/>
    <w:rsid w:val="00E742C6"/>
    <w:rsid w:val="00E76D2F"/>
    <w:rsid w:val="00E80A13"/>
    <w:rsid w:val="00E81567"/>
    <w:rsid w:val="00E81F6C"/>
    <w:rsid w:val="00E81FD9"/>
    <w:rsid w:val="00E824BE"/>
    <w:rsid w:val="00E85FC5"/>
    <w:rsid w:val="00E91162"/>
    <w:rsid w:val="00E91988"/>
    <w:rsid w:val="00E94100"/>
    <w:rsid w:val="00E95D0B"/>
    <w:rsid w:val="00EA3D13"/>
    <w:rsid w:val="00EA5132"/>
    <w:rsid w:val="00EA603F"/>
    <w:rsid w:val="00EA6719"/>
    <w:rsid w:val="00EA67F9"/>
    <w:rsid w:val="00EB205D"/>
    <w:rsid w:val="00EB61EA"/>
    <w:rsid w:val="00EC15A1"/>
    <w:rsid w:val="00EC541A"/>
    <w:rsid w:val="00EC61AF"/>
    <w:rsid w:val="00ED5236"/>
    <w:rsid w:val="00ED58E8"/>
    <w:rsid w:val="00EE2566"/>
    <w:rsid w:val="00EE44FE"/>
    <w:rsid w:val="00EE4C7D"/>
    <w:rsid w:val="00EE52B1"/>
    <w:rsid w:val="00EE69FD"/>
    <w:rsid w:val="00EF1C32"/>
    <w:rsid w:val="00EF24C8"/>
    <w:rsid w:val="00EF303F"/>
    <w:rsid w:val="00EF445A"/>
    <w:rsid w:val="00EF463F"/>
    <w:rsid w:val="00EF79C2"/>
    <w:rsid w:val="00F00445"/>
    <w:rsid w:val="00F04AFB"/>
    <w:rsid w:val="00F057C1"/>
    <w:rsid w:val="00F1164F"/>
    <w:rsid w:val="00F125A0"/>
    <w:rsid w:val="00F13B8C"/>
    <w:rsid w:val="00F16B83"/>
    <w:rsid w:val="00F21156"/>
    <w:rsid w:val="00F2301D"/>
    <w:rsid w:val="00F301BC"/>
    <w:rsid w:val="00F31F39"/>
    <w:rsid w:val="00F342B3"/>
    <w:rsid w:val="00F345FF"/>
    <w:rsid w:val="00F35BE1"/>
    <w:rsid w:val="00F37110"/>
    <w:rsid w:val="00F374B4"/>
    <w:rsid w:val="00F37EE4"/>
    <w:rsid w:val="00F37F54"/>
    <w:rsid w:val="00F417A5"/>
    <w:rsid w:val="00F4464B"/>
    <w:rsid w:val="00F469C4"/>
    <w:rsid w:val="00F5043B"/>
    <w:rsid w:val="00F51972"/>
    <w:rsid w:val="00F54145"/>
    <w:rsid w:val="00F61C66"/>
    <w:rsid w:val="00F66AE5"/>
    <w:rsid w:val="00F66B0E"/>
    <w:rsid w:val="00F71335"/>
    <w:rsid w:val="00F72DF2"/>
    <w:rsid w:val="00F72ED4"/>
    <w:rsid w:val="00F73E55"/>
    <w:rsid w:val="00F75A80"/>
    <w:rsid w:val="00F7763F"/>
    <w:rsid w:val="00F920CB"/>
    <w:rsid w:val="00F92267"/>
    <w:rsid w:val="00F95D68"/>
    <w:rsid w:val="00FA5683"/>
    <w:rsid w:val="00FA6298"/>
    <w:rsid w:val="00FA6B50"/>
    <w:rsid w:val="00FB4095"/>
    <w:rsid w:val="00FB7486"/>
    <w:rsid w:val="00FC0C20"/>
    <w:rsid w:val="00FC2F98"/>
    <w:rsid w:val="00FC400E"/>
    <w:rsid w:val="00FC54C3"/>
    <w:rsid w:val="00FD1EC6"/>
    <w:rsid w:val="00FD2D48"/>
    <w:rsid w:val="00FD45E6"/>
    <w:rsid w:val="00FD7EDC"/>
    <w:rsid w:val="00FE1A96"/>
    <w:rsid w:val="00FE4175"/>
    <w:rsid w:val="00FE4E6E"/>
    <w:rsid w:val="00FE7EA6"/>
    <w:rsid w:val="00FF4694"/>
    <w:rsid w:val="00FF52D4"/>
    <w:rsid w:val="00FF6DFC"/>
    <w:rsid w:val="00FF7070"/>
    <w:rsid w:val="00FF73C7"/>
    <w:rsid w:val="010F1DA1"/>
    <w:rsid w:val="017D31AE"/>
    <w:rsid w:val="01D54D98"/>
    <w:rsid w:val="039173F3"/>
    <w:rsid w:val="04455AD9"/>
    <w:rsid w:val="059E1945"/>
    <w:rsid w:val="05F477B7"/>
    <w:rsid w:val="063D2F0C"/>
    <w:rsid w:val="064C13A1"/>
    <w:rsid w:val="06585F98"/>
    <w:rsid w:val="0781507A"/>
    <w:rsid w:val="07A54244"/>
    <w:rsid w:val="07AF1BE8"/>
    <w:rsid w:val="084F5179"/>
    <w:rsid w:val="091066B6"/>
    <w:rsid w:val="091E5277"/>
    <w:rsid w:val="0A474359"/>
    <w:rsid w:val="0A672389"/>
    <w:rsid w:val="0AA55818"/>
    <w:rsid w:val="0B293A5F"/>
    <w:rsid w:val="0B756CA4"/>
    <w:rsid w:val="0EC73CBB"/>
    <w:rsid w:val="107B2FAF"/>
    <w:rsid w:val="112076B2"/>
    <w:rsid w:val="11C06F17"/>
    <w:rsid w:val="12F47048"/>
    <w:rsid w:val="12F84BA8"/>
    <w:rsid w:val="13315BA7"/>
    <w:rsid w:val="13781A27"/>
    <w:rsid w:val="141D375F"/>
    <w:rsid w:val="153228AA"/>
    <w:rsid w:val="162D4D4B"/>
    <w:rsid w:val="17555BDC"/>
    <w:rsid w:val="175956CC"/>
    <w:rsid w:val="17C3523B"/>
    <w:rsid w:val="187D363C"/>
    <w:rsid w:val="18D53478"/>
    <w:rsid w:val="192341E3"/>
    <w:rsid w:val="1A516B2E"/>
    <w:rsid w:val="1A546D31"/>
    <w:rsid w:val="1ABC48F0"/>
    <w:rsid w:val="1B2108E2"/>
    <w:rsid w:val="1C2C1601"/>
    <w:rsid w:val="1CDC3027"/>
    <w:rsid w:val="1D263CCA"/>
    <w:rsid w:val="1DCD471E"/>
    <w:rsid w:val="1E256308"/>
    <w:rsid w:val="1F1F71FB"/>
    <w:rsid w:val="1F97492B"/>
    <w:rsid w:val="20CA74E1"/>
    <w:rsid w:val="20F46465"/>
    <w:rsid w:val="210466A8"/>
    <w:rsid w:val="23C12A81"/>
    <w:rsid w:val="240115C5"/>
    <w:rsid w:val="24B403E6"/>
    <w:rsid w:val="24DB5972"/>
    <w:rsid w:val="253F37E6"/>
    <w:rsid w:val="25D80104"/>
    <w:rsid w:val="26BB3CAD"/>
    <w:rsid w:val="27291346"/>
    <w:rsid w:val="28722A91"/>
    <w:rsid w:val="2A941B30"/>
    <w:rsid w:val="2AB63109"/>
    <w:rsid w:val="2AE17A5A"/>
    <w:rsid w:val="2B6761B2"/>
    <w:rsid w:val="2CCB4139"/>
    <w:rsid w:val="2DD45655"/>
    <w:rsid w:val="2E255EB0"/>
    <w:rsid w:val="2FC25922"/>
    <w:rsid w:val="2FD87F41"/>
    <w:rsid w:val="2FE36023"/>
    <w:rsid w:val="30590093"/>
    <w:rsid w:val="31E14731"/>
    <w:rsid w:val="34030A42"/>
    <w:rsid w:val="34374FCF"/>
    <w:rsid w:val="34F211E2"/>
    <w:rsid w:val="356D0868"/>
    <w:rsid w:val="35B91069"/>
    <w:rsid w:val="362A0508"/>
    <w:rsid w:val="36BE6EA2"/>
    <w:rsid w:val="36C455B0"/>
    <w:rsid w:val="36C73FA8"/>
    <w:rsid w:val="37F17D44"/>
    <w:rsid w:val="38064FA4"/>
    <w:rsid w:val="38593326"/>
    <w:rsid w:val="38743CBC"/>
    <w:rsid w:val="3AE35129"/>
    <w:rsid w:val="3AFB2473"/>
    <w:rsid w:val="3B7872AF"/>
    <w:rsid w:val="3BF55114"/>
    <w:rsid w:val="3C303323"/>
    <w:rsid w:val="3CD07CCB"/>
    <w:rsid w:val="3D4A148F"/>
    <w:rsid w:val="3E3F6B1A"/>
    <w:rsid w:val="43E02B4D"/>
    <w:rsid w:val="45B147A1"/>
    <w:rsid w:val="45B20519"/>
    <w:rsid w:val="46117DCE"/>
    <w:rsid w:val="46BA7686"/>
    <w:rsid w:val="479F374D"/>
    <w:rsid w:val="47C36A0E"/>
    <w:rsid w:val="49D46CB0"/>
    <w:rsid w:val="4A346A7D"/>
    <w:rsid w:val="4AAC19DB"/>
    <w:rsid w:val="4B074E64"/>
    <w:rsid w:val="4B4327C9"/>
    <w:rsid w:val="4BFA0524"/>
    <w:rsid w:val="4C0700F4"/>
    <w:rsid w:val="4CD174D7"/>
    <w:rsid w:val="4D3F08E5"/>
    <w:rsid w:val="4D9A0CA7"/>
    <w:rsid w:val="4E3221F7"/>
    <w:rsid w:val="4E9C2DB8"/>
    <w:rsid w:val="4EFD45B3"/>
    <w:rsid w:val="4F8E5B53"/>
    <w:rsid w:val="4F9E1332"/>
    <w:rsid w:val="51AE6039"/>
    <w:rsid w:val="51F6353C"/>
    <w:rsid w:val="52660640"/>
    <w:rsid w:val="531F399C"/>
    <w:rsid w:val="534E16B6"/>
    <w:rsid w:val="53DD49B3"/>
    <w:rsid w:val="543C16DA"/>
    <w:rsid w:val="543F566E"/>
    <w:rsid w:val="55072AF2"/>
    <w:rsid w:val="550A5C7C"/>
    <w:rsid w:val="55AC288F"/>
    <w:rsid w:val="580A1AEF"/>
    <w:rsid w:val="5895585D"/>
    <w:rsid w:val="5963595B"/>
    <w:rsid w:val="5A946B2A"/>
    <w:rsid w:val="5A9658BC"/>
    <w:rsid w:val="5B157129"/>
    <w:rsid w:val="5B3B081F"/>
    <w:rsid w:val="5CB70498"/>
    <w:rsid w:val="5CF5522E"/>
    <w:rsid w:val="5D415FB3"/>
    <w:rsid w:val="5E1B37F7"/>
    <w:rsid w:val="5E750C86"/>
    <w:rsid w:val="5F0B6879"/>
    <w:rsid w:val="600357A2"/>
    <w:rsid w:val="60163727"/>
    <w:rsid w:val="61826B9A"/>
    <w:rsid w:val="61D90EB0"/>
    <w:rsid w:val="62410803"/>
    <w:rsid w:val="63512CC8"/>
    <w:rsid w:val="63CC234F"/>
    <w:rsid w:val="651641C9"/>
    <w:rsid w:val="65336B29"/>
    <w:rsid w:val="65F30067"/>
    <w:rsid w:val="67674868"/>
    <w:rsid w:val="67917B37"/>
    <w:rsid w:val="6A484E25"/>
    <w:rsid w:val="6D2A4D0F"/>
    <w:rsid w:val="6D341690"/>
    <w:rsid w:val="6DCD472D"/>
    <w:rsid w:val="6E301E58"/>
    <w:rsid w:val="6E9543B1"/>
    <w:rsid w:val="6F5B694F"/>
    <w:rsid w:val="6FFD3FBC"/>
    <w:rsid w:val="70E37655"/>
    <w:rsid w:val="73C6500C"/>
    <w:rsid w:val="741E6BF6"/>
    <w:rsid w:val="74997255"/>
    <w:rsid w:val="75220020"/>
    <w:rsid w:val="75412B9C"/>
    <w:rsid w:val="75D11745"/>
    <w:rsid w:val="76F31C74"/>
    <w:rsid w:val="783032E7"/>
    <w:rsid w:val="788461B5"/>
    <w:rsid w:val="79F226B7"/>
    <w:rsid w:val="79F5163C"/>
    <w:rsid w:val="7AAD2A82"/>
    <w:rsid w:val="7B05466C"/>
    <w:rsid w:val="7DBF0B02"/>
    <w:rsid w:val="7DC51E91"/>
    <w:rsid w:val="7DEA6FE5"/>
    <w:rsid w:val="7E074257"/>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C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paragraph" w:styleId="a8">
    <w:name w:val="Title"/>
    <w:basedOn w:val="a"/>
    <w:next w:val="a"/>
    <w:link w:val="Char3"/>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9">
    <w:name w:val="annotation subject"/>
    <w:basedOn w:val="a3"/>
    <w:next w:val="a3"/>
    <w:link w:val="Char4"/>
    <w:uiPriority w:val="99"/>
    <w:semiHidden/>
    <w:unhideWhenUsed/>
    <w:rPr>
      <w:b/>
      <w:bCs/>
    </w:r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qFormat/>
    <w:rPr>
      <w:rFonts w:cstheme="majorBidi"/>
      <w:color w:val="2F5496" w:themeColor="accent1" w:themeShade="BF"/>
      <w:sz w:val="28"/>
      <w:szCs w:val="28"/>
    </w:rPr>
  </w:style>
  <w:style w:type="character" w:customStyle="1" w:styleId="5Char">
    <w:name w:val="标题 5 Char"/>
    <w:basedOn w:val="a0"/>
    <w:link w:val="5"/>
    <w:uiPriority w:val="9"/>
    <w:semiHidden/>
    <w:rPr>
      <w:rFonts w:cstheme="majorBidi"/>
      <w:color w:val="2F5496" w:themeColor="accent1" w:themeShade="BF"/>
      <w:sz w:val="24"/>
      <w:szCs w:val="24"/>
    </w:rPr>
  </w:style>
  <w:style w:type="character" w:customStyle="1" w:styleId="6Char">
    <w:name w:val="标题 6 Char"/>
    <w:basedOn w:val="a0"/>
    <w:link w:val="6"/>
    <w:uiPriority w:val="9"/>
    <w:semiHidden/>
    <w:qFormat/>
    <w:rPr>
      <w:rFonts w:cstheme="majorBidi"/>
      <w:b/>
      <w:bCs/>
      <w:color w:val="2F5496"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3">
    <w:name w:val="标题 Char"/>
    <w:basedOn w:val="a0"/>
    <w:link w:val="a8"/>
    <w:uiPriority w:val="10"/>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Char5"/>
    <w:uiPriority w:val="29"/>
    <w:qFormat/>
    <w:pPr>
      <w:spacing w:before="160" w:after="160"/>
      <w:jc w:val="center"/>
    </w:pPr>
    <w:rPr>
      <w:i/>
      <w:iCs/>
      <w:color w:val="404040" w:themeColor="text1" w:themeTint="BF"/>
    </w:rPr>
  </w:style>
  <w:style w:type="character" w:customStyle="1" w:styleId="Char5">
    <w:name w:val="引用 Char"/>
    <w:basedOn w:val="a0"/>
    <w:link w:val="ab"/>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0">
    <w:name w:val="明显强调1"/>
    <w:basedOn w:val="a0"/>
    <w:uiPriority w:val="21"/>
    <w:qFormat/>
    <w:rPr>
      <w:i/>
      <w:iCs/>
      <w:color w:val="2F5496" w:themeColor="accent1" w:themeShade="BF"/>
    </w:rPr>
  </w:style>
  <w:style w:type="paragraph" w:styleId="ad">
    <w:name w:val="Intense Quote"/>
    <w:basedOn w:val="a"/>
    <w:next w:val="a"/>
    <w:link w:val="Char6"/>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6">
    <w:name w:val="明显引用 Char"/>
    <w:basedOn w:val="a0"/>
    <w:link w:val="ad"/>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styleId="ae">
    <w:name w:val="Balloon Text"/>
    <w:basedOn w:val="a"/>
    <w:link w:val="Char7"/>
    <w:uiPriority w:val="99"/>
    <w:semiHidden/>
    <w:unhideWhenUsed/>
    <w:rsid w:val="005A09DD"/>
    <w:rPr>
      <w:sz w:val="18"/>
      <w:szCs w:val="18"/>
    </w:rPr>
  </w:style>
  <w:style w:type="character" w:customStyle="1" w:styleId="Char7">
    <w:name w:val="批注框文本 Char"/>
    <w:basedOn w:val="a0"/>
    <w:link w:val="ae"/>
    <w:uiPriority w:val="99"/>
    <w:semiHidden/>
    <w:rsid w:val="005A09DD"/>
    <w:rPr>
      <w:rFonts w:asciiTheme="minorHAnsi" w:eastAsiaTheme="minorEastAsia" w:hAnsiTheme="minorHAnsi" w:cstheme="minorBidi"/>
      <w:kern w:val="2"/>
      <w:sz w:val="18"/>
      <w:szCs w:val="18"/>
    </w:rPr>
  </w:style>
  <w:style w:type="paragraph" w:styleId="af">
    <w:name w:val="Revision"/>
    <w:hidden/>
    <w:uiPriority w:val="99"/>
    <w:unhideWhenUsed/>
    <w:rsid w:val="00BE2CF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paragraph" w:styleId="a8">
    <w:name w:val="Title"/>
    <w:basedOn w:val="a"/>
    <w:next w:val="a"/>
    <w:link w:val="Char3"/>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9">
    <w:name w:val="annotation subject"/>
    <w:basedOn w:val="a3"/>
    <w:next w:val="a3"/>
    <w:link w:val="Char4"/>
    <w:uiPriority w:val="99"/>
    <w:semiHidden/>
    <w:unhideWhenUsed/>
    <w:rPr>
      <w:b/>
      <w:bCs/>
    </w:r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qFormat/>
    <w:rPr>
      <w:rFonts w:cstheme="majorBidi"/>
      <w:color w:val="2F5496" w:themeColor="accent1" w:themeShade="BF"/>
      <w:sz w:val="28"/>
      <w:szCs w:val="28"/>
    </w:rPr>
  </w:style>
  <w:style w:type="character" w:customStyle="1" w:styleId="5Char">
    <w:name w:val="标题 5 Char"/>
    <w:basedOn w:val="a0"/>
    <w:link w:val="5"/>
    <w:uiPriority w:val="9"/>
    <w:semiHidden/>
    <w:rPr>
      <w:rFonts w:cstheme="majorBidi"/>
      <w:color w:val="2F5496" w:themeColor="accent1" w:themeShade="BF"/>
      <w:sz w:val="24"/>
      <w:szCs w:val="24"/>
    </w:rPr>
  </w:style>
  <w:style w:type="character" w:customStyle="1" w:styleId="6Char">
    <w:name w:val="标题 6 Char"/>
    <w:basedOn w:val="a0"/>
    <w:link w:val="6"/>
    <w:uiPriority w:val="9"/>
    <w:semiHidden/>
    <w:qFormat/>
    <w:rPr>
      <w:rFonts w:cstheme="majorBidi"/>
      <w:b/>
      <w:bCs/>
      <w:color w:val="2F5496"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3">
    <w:name w:val="标题 Char"/>
    <w:basedOn w:val="a0"/>
    <w:link w:val="a8"/>
    <w:uiPriority w:val="10"/>
    <w:rPr>
      <w:rFonts w:asciiTheme="majorHAnsi" w:eastAsiaTheme="majorEastAsia" w:hAnsiTheme="majorHAnsi" w:cstheme="majorBidi"/>
      <w:spacing w:val="-10"/>
      <w:kern w:val="28"/>
      <w:sz w:val="56"/>
      <w:szCs w:val="56"/>
    </w:rPr>
  </w:style>
  <w:style w:type="character" w:customStyle="1" w:styleId="Char2">
    <w:name w:val="副标题 Char"/>
    <w:basedOn w:val="a0"/>
    <w:link w:val="a6"/>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Char5"/>
    <w:uiPriority w:val="29"/>
    <w:qFormat/>
    <w:pPr>
      <w:spacing w:before="160" w:after="160"/>
      <w:jc w:val="center"/>
    </w:pPr>
    <w:rPr>
      <w:i/>
      <w:iCs/>
      <w:color w:val="404040" w:themeColor="text1" w:themeTint="BF"/>
    </w:rPr>
  </w:style>
  <w:style w:type="character" w:customStyle="1" w:styleId="Char5">
    <w:name w:val="引用 Char"/>
    <w:basedOn w:val="a0"/>
    <w:link w:val="ab"/>
    <w:uiPriority w:val="29"/>
    <w:qFormat/>
    <w:rPr>
      <w:i/>
      <w:iCs/>
      <w:color w:val="404040" w:themeColor="text1" w:themeTint="BF"/>
    </w:rPr>
  </w:style>
  <w:style w:type="paragraph" w:styleId="ac">
    <w:name w:val="List Paragraph"/>
    <w:basedOn w:val="a"/>
    <w:uiPriority w:val="34"/>
    <w:qFormat/>
    <w:pPr>
      <w:ind w:left="720"/>
      <w:contextualSpacing/>
    </w:pPr>
  </w:style>
  <w:style w:type="character" w:customStyle="1" w:styleId="10">
    <w:name w:val="明显强调1"/>
    <w:basedOn w:val="a0"/>
    <w:uiPriority w:val="21"/>
    <w:qFormat/>
    <w:rPr>
      <w:i/>
      <w:iCs/>
      <w:color w:val="2F5496" w:themeColor="accent1" w:themeShade="BF"/>
    </w:rPr>
  </w:style>
  <w:style w:type="paragraph" w:styleId="ad">
    <w:name w:val="Intense Quote"/>
    <w:basedOn w:val="a"/>
    <w:next w:val="a"/>
    <w:link w:val="Char6"/>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6">
    <w:name w:val="明显引用 Char"/>
    <w:basedOn w:val="a0"/>
    <w:link w:val="ad"/>
    <w:uiPriority w:val="30"/>
    <w:qFormat/>
    <w:rPr>
      <w:i/>
      <w:iCs/>
      <w:color w:val="2F5496" w:themeColor="accent1" w:themeShade="BF"/>
    </w:rPr>
  </w:style>
  <w:style w:type="character" w:customStyle="1" w:styleId="11">
    <w:name w:val="明显参考1"/>
    <w:basedOn w:val="a0"/>
    <w:uiPriority w:val="32"/>
    <w:qFormat/>
    <w:rPr>
      <w:b/>
      <w:bCs/>
      <w:smallCaps/>
      <w:color w:val="2F5496" w:themeColor="accent1" w:themeShade="BF"/>
      <w:spacing w:val="5"/>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styleId="ae">
    <w:name w:val="Balloon Text"/>
    <w:basedOn w:val="a"/>
    <w:link w:val="Char7"/>
    <w:uiPriority w:val="99"/>
    <w:semiHidden/>
    <w:unhideWhenUsed/>
    <w:rsid w:val="005A09DD"/>
    <w:rPr>
      <w:sz w:val="18"/>
      <w:szCs w:val="18"/>
    </w:rPr>
  </w:style>
  <w:style w:type="character" w:customStyle="1" w:styleId="Char7">
    <w:name w:val="批注框文本 Char"/>
    <w:basedOn w:val="a0"/>
    <w:link w:val="ae"/>
    <w:uiPriority w:val="99"/>
    <w:semiHidden/>
    <w:rsid w:val="005A09DD"/>
    <w:rPr>
      <w:rFonts w:asciiTheme="minorHAnsi" w:eastAsiaTheme="minorEastAsia" w:hAnsiTheme="minorHAnsi" w:cstheme="minorBidi"/>
      <w:kern w:val="2"/>
      <w:sz w:val="18"/>
      <w:szCs w:val="18"/>
    </w:rPr>
  </w:style>
  <w:style w:type="paragraph" w:styleId="af">
    <w:name w:val="Revision"/>
    <w:hidden/>
    <w:uiPriority w:val="99"/>
    <w:unhideWhenUsed/>
    <w:rsid w:val="00BE2C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DFF9-7F78-4CD6-8D67-3FEA540E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3488</Words>
  <Characters>19886</Characters>
  <Application>Microsoft Office Word</Application>
  <DocSecurity>0</DocSecurity>
  <Lines>165</Lines>
  <Paragraphs>46</Paragraphs>
  <ScaleCrop>false</ScaleCrop>
  <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mofcom</cp:lastModifiedBy>
  <cp:revision>753</cp:revision>
  <dcterms:created xsi:type="dcterms:W3CDTF">2025-09-20T04:01:00Z</dcterms:created>
  <dcterms:modified xsi:type="dcterms:W3CDTF">2025-09-29T03:46:00Z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eyJoZGlkIjoiNWU1ZWRjMTNlY2YwZjFkMmExYzNkYjUzZDM5OTQxNzEiLCJ1c2VySWQiOiI1OTY2OTYxMDAifQ==</vt:lpwstr>
  </property>
  <property fmtid="{D5CDD505-2E9C-101B-9397-08002B2CF9AE}" pid="3" name="KSOProductBuildVer">
    <vt:lpwstr>2052-12.1.0.21915</vt:lpwstr>
  </property>
  <property fmtid="{D5CDD505-2E9C-101B-9397-08002B2CF9AE}" pid="4" name="ICV">
    <vt:lpwstr>C8EE34CA683545D383B63687D8F43777_12</vt:lpwstr>
  </property>
</Properties>
</file>